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1FE8" w:rsidRDefault="00897B8C">
      <w:pPr>
        <w:pStyle w:val="Proposal"/>
        <w:snapToGrid w:val="0"/>
        <w:ind w:left="1701" w:hanging="1701"/>
        <w:outlineLvl w:val="0"/>
        <w:rPr>
          <w:rFonts w:ascii="Arial" w:hAnsi="Arial" w:cs="Arial"/>
          <w:b w:val="0"/>
          <w:bCs w:val="0"/>
          <w:sz w:val="22"/>
        </w:rPr>
      </w:pPr>
      <w:bookmarkStart w:id="0" w:name="OLE_LINK2"/>
      <w:bookmarkStart w:id="1" w:name="OLE_LINK1"/>
      <w:r>
        <w:rPr>
          <w:rFonts w:ascii="Arial" w:hAnsi="Arial" w:cs="Arial"/>
          <w:sz w:val="22"/>
        </w:rPr>
        <w:t>3GPP TSG RAN WG1 #1</w:t>
      </w:r>
      <w:r>
        <w:rPr>
          <w:rFonts w:ascii="Arial" w:hAnsi="Arial" w:cs="Arial" w:hint="eastAsia"/>
          <w:sz w:val="22"/>
        </w:rPr>
        <w:t>10</w:t>
      </w:r>
      <w:r>
        <w:rPr>
          <w:rFonts w:ascii="Arial" w:hAnsi="Arial" w:cs="Arial"/>
          <w:sz w:val="22"/>
        </w:rPr>
        <w:tab/>
      </w:r>
      <w:r>
        <w:rPr>
          <w:rFonts w:ascii="Arial" w:hAnsi="Arial" w:cs="Arial"/>
          <w:sz w:val="22"/>
        </w:rPr>
        <w:tab/>
        <w:t xml:space="preserve"> </w:t>
      </w:r>
      <w:r>
        <w:rPr>
          <w:rFonts w:ascii="Arial" w:hAnsi="Arial" w:cs="Arial"/>
          <w:sz w:val="22"/>
        </w:rPr>
        <w:tab/>
        <w:t xml:space="preserve">                                   </w:t>
      </w:r>
      <w:r w:rsidR="00C7084C">
        <w:rPr>
          <w:rFonts w:ascii="Arial" w:hAnsi="Arial" w:cs="Arial"/>
          <w:sz w:val="22"/>
        </w:rPr>
        <w:t xml:space="preserve">    </w:t>
      </w:r>
      <w:r>
        <w:rPr>
          <w:rFonts w:ascii="Arial" w:hAnsi="Arial" w:cs="Arial"/>
          <w:sz w:val="22"/>
        </w:rPr>
        <w:t>R1-</w:t>
      </w:r>
      <w:r w:rsidR="00C7084C">
        <w:rPr>
          <w:rFonts w:ascii="Arial" w:hAnsi="Arial" w:cs="Arial"/>
          <w:sz w:val="22"/>
        </w:rPr>
        <w:t>2206013</w:t>
      </w:r>
    </w:p>
    <w:p w:rsidR="00F34F62" w:rsidRDefault="00F34F62" w:rsidP="00F34F62">
      <w:pPr>
        <w:pStyle w:val="Proposal"/>
        <w:snapToGrid w:val="0"/>
        <w:ind w:left="1701" w:hanging="1701"/>
        <w:outlineLvl w:val="0"/>
        <w:rPr>
          <w:rFonts w:cs="Arial"/>
          <w:bCs w:val="0"/>
        </w:rPr>
      </w:pPr>
      <w:bookmarkStart w:id="2" w:name="_GoBack"/>
      <w:r w:rsidRPr="00F34F62">
        <w:rPr>
          <w:rFonts w:ascii="Arial" w:hAnsi="Arial" w:cs="Arial"/>
          <w:sz w:val="22"/>
        </w:rPr>
        <w:t>Toulouse, France, August 22nd – 26th, 2022</w:t>
      </w:r>
      <w:bookmarkEnd w:id="2"/>
    </w:p>
    <w:p w:rsidR="008D1FE8" w:rsidRPr="00F34F62" w:rsidRDefault="008D1FE8">
      <w:pPr>
        <w:pStyle w:val="3GPPHeader"/>
        <w:snapToGrid w:val="0"/>
        <w:rPr>
          <w:rFonts w:cs="Arial"/>
          <w:sz w:val="22"/>
        </w:rPr>
      </w:pPr>
    </w:p>
    <w:p w:rsidR="008D1FE8" w:rsidRDefault="00897B8C">
      <w:pPr>
        <w:pStyle w:val="3GPPHeader"/>
        <w:snapToGrid w:val="0"/>
        <w:outlineLvl w:val="0"/>
        <w:rPr>
          <w:rFonts w:cs="Arial"/>
          <w:sz w:val="22"/>
        </w:rPr>
      </w:pPr>
      <w:r>
        <w:rPr>
          <w:rFonts w:cs="Arial"/>
          <w:sz w:val="22"/>
        </w:rPr>
        <w:t>Source:</w:t>
      </w:r>
      <w:r>
        <w:rPr>
          <w:rFonts w:cs="Arial"/>
          <w:sz w:val="22"/>
        </w:rPr>
        <w:tab/>
        <w:t>ZTE</w:t>
      </w:r>
    </w:p>
    <w:p w:rsidR="008D1FE8" w:rsidRDefault="00897B8C">
      <w:pPr>
        <w:pStyle w:val="3GPPHeader"/>
        <w:snapToGrid w:val="0"/>
        <w:outlineLvl w:val="0"/>
        <w:rPr>
          <w:rFonts w:cs="Arial"/>
          <w:sz w:val="22"/>
        </w:rPr>
      </w:pPr>
      <w:r>
        <w:rPr>
          <w:rFonts w:cs="Arial"/>
          <w:sz w:val="22"/>
        </w:rPr>
        <w:t>Title:</w:t>
      </w:r>
      <w:r>
        <w:rPr>
          <w:rFonts w:cs="Arial"/>
          <w:sz w:val="22"/>
        </w:rPr>
        <w:tab/>
        <w:t xml:space="preserve">Remaining issues </w:t>
      </w:r>
      <w:r>
        <w:rPr>
          <w:rFonts w:cs="Arial" w:hint="eastAsia"/>
          <w:sz w:val="22"/>
        </w:rPr>
        <w:t>on</w:t>
      </w:r>
      <w:r>
        <w:rPr>
          <w:rFonts w:cs="Arial"/>
          <w:sz w:val="22"/>
        </w:rPr>
        <w:t xml:space="preserve"> </w:t>
      </w:r>
      <w:r>
        <w:rPr>
          <w:rFonts w:cs="Arial" w:hint="eastAsia"/>
          <w:sz w:val="22"/>
        </w:rPr>
        <w:t>NR-NTN</w:t>
      </w:r>
    </w:p>
    <w:p w:rsidR="008D1FE8" w:rsidRDefault="00897B8C">
      <w:pPr>
        <w:pStyle w:val="3GPPHeader"/>
        <w:snapToGrid w:val="0"/>
        <w:outlineLvl w:val="0"/>
        <w:rPr>
          <w:rFonts w:cs="Arial"/>
          <w:sz w:val="22"/>
        </w:rPr>
      </w:pPr>
      <w:r>
        <w:rPr>
          <w:rFonts w:cs="Arial"/>
          <w:sz w:val="22"/>
        </w:rPr>
        <w:t>Agenda Item:</w:t>
      </w:r>
      <w:r>
        <w:rPr>
          <w:rFonts w:cs="Arial"/>
          <w:sz w:val="22"/>
        </w:rPr>
        <w:tab/>
        <w:t>8.</w:t>
      </w:r>
      <w:r>
        <w:rPr>
          <w:rFonts w:cs="Arial" w:hint="eastAsia"/>
          <w:sz w:val="22"/>
        </w:rPr>
        <w:t>4</w:t>
      </w:r>
    </w:p>
    <w:p w:rsidR="008D1FE8" w:rsidRDefault="00897B8C">
      <w:pPr>
        <w:pBdr>
          <w:bottom w:val="single" w:sz="6" w:space="1" w:color="auto"/>
        </w:pBdr>
        <w:snapToGrid w:val="0"/>
        <w:outlineLvl w:val="0"/>
        <w:rPr>
          <w:rFonts w:ascii="Arial" w:hAnsi="Arial"/>
          <w:b/>
        </w:rPr>
      </w:pPr>
      <w:r>
        <w:rPr>
          <w:rFonts w:ascii="Arial" w:hAnsi="Arial"/>
          <w:b/>
        </w:rPr>
        <w:t>Document for:  Discussion</w:t>
      </w:r>
      <w:bookmarkEnd w:id="0"/>
      <w:bookmarkEnd w:id="1"/>
    </w:p>
    <w:p w:rsidR="008D1FE8" w:rsidRDefault="00897B8C">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rsidR="008D1FE8" w:rsidRDefault="00897B8C">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1#109e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_Ref40282619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w:t>
      </w:r>
      <w:r>
        <w:rPr>
          <w:rFonts w:ascii="Times New Roman" w:hAnsi="Times New Roman" w:hint="eastAsia"/>
          <w:sz w:val="20"/>
          <w:szCs w:val="20"/>
        </w:rPr>
        <w:t xml:space="preserve"> following remaining issues are still pending.</w:t>
      </w:r>
    </w:p>
    <w:p w:rsidR="008D1FE8" w:rsidRDefault="00897B8C">
      <w:pPr>
        <w:pStyle w:val="ae"/>
        <w:numPr>
          <w:ilvl w:val="0"/>
          <w:numId w:val="5"/>
        </w:numPr>
        <w:spacing w:beforeLines="50" w:before="120" w:afterLines="50" w:after="120" w:line="240" w:lineRule="auto"/>
        <w:ind w:firstLineChars="0"/>
        <w:jc w:val="both"/>
        <w:rPr>
          <w:rFonts w:ascii="Times New Roman" w:hAnsi="Times New Roman"/>
          <w:sz w:val="20"/>
          <w:szCs w:val="20"/>
        </w:rPr>
      </w:pPr>
      <w:r>
        <w:rPr>
          <w:rFonts w:ascii="Times New Roman" w:hAnsi="Times New Roman" w:hint="eastAsia"/>
          <w:sz w:val="20"/>
          <w:szCs w:val="20"/>
        </w:rPr>
        <w:t xml:space="preserve">Whether assistance information is valid before the epoch time or not </w:t>
      </w:r>
    </w:p>
    <w:p w:rsidR="008D1FE8" w:rsidRDefault="00897B8C">
      <w:pPr>
        <w:pStyle w:val="ae"/>
        <w:numPr>
          <w:ilvl w:val="0"/>
          <w:numId w:val="5"/>
        </w:numPr>
        <w:spacing w:beforeLines="50" w:before="120" w:afterLines="50" w:after="120" w:line="240" w:lineRule="auto"/>
        <w:ind w:firstLineChars="0"/>
        <w:jc w:val="both"/>
        <w:rPr>
          <w:rFonts w:ascii="Times New Roman" w:hAnsi="Times New Roman"/>
          <w:sz w:val="20"/>
          <w:szCs w:val="20"/>
        </w:rPr>
      </w:pPr>
      <w:r>
        <w:rPr>
          <w:rFonts w:ascii="Times New Roman" w:hAnsi="Times New Roman" w:hint="eastAsia"/>
          <w:sz w:val="20"/>
          <w:szCs w:val="20"/>
        </w:rPr>
        <w:t>Interpretation of SFN indicating Epoch time</w:t>
      </w:r>
    </w:p>
    <w:p w:rsidR="008D1FE8" w:rsidRDefault="00897B8C">
      <w:pPr>
        <w:pStyle w:val="ae"/>
        <w:numPr>
          <w:ilvl w:val="0"/>
          <w:numId w:val="5"/>
        </w:numPr>
        <w:spacing w:beforeLines="50" w:before="120" w:afterLines="50" w:after="120" w:line="240" w:lineRule="auto"/>
        <w:ind w:firstLineChars="0"/>
        <w:jc w:val="both"/>
        <w:rPr>
          <w:rFonts w:ascii="Times New Roman" w:hAnsi="Times New Roman"/>
          <w:sz w:val="20"/>
          <w:szCs w:val="20"/>
        </w:rPr>
      </w:pPr>
      <w:r>
        <w:rPr>
          <w:rFonts w:ascii="Times New Roman" w:hAnsi="Times New Roman" w:hint="eastAsia"/>
          <w:sz w:val="20"/>
          <w:szCs w:val="20"/>
        </w:rPr>
        <w:t>Support of negative values of CommonDelayDriftVariation for GEO</w:t>
      </w:r>
    </w:p>
    <w:p w:rsidR="008D1FE8" w:rsidRDefault="00897B8C">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above issues </w:t>
      </w:r>
      <w:r>
        <w:rPr>
          <w:rFonts w:ascii="Times New Roman" w:hAnsi="Times New Roman"/>
          <w:sz w:val="20"/>
          <w:szCs w:val="20"/>
        </w:rPr>
        <w:t xml:space="preserve">are elaborated with corresponding analysis. </w:t>
      </w:r>
    </w:p>
    <w:p w:rsidR="008D1FE8" w:rsidRDefault="00897B8C">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Validity time definition</w:t>
      </w:r>
    </w:p>
    <w:p w:rsidR="008D1FE8" w:rsidRDefault="00897B8C">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RAN1#109e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the validity time of common TA and ephemeris was discussed and following two types of definitions are considered</w:t>
      </w:r>
      <w:r w:rsidR="00B92099">
        <w:rPr>
          <w:rFonts w:ascii="Times New Roman" w:eastAsia="宋体" w:hAnsi="Times New Roman" w:cs="Times New Roman"/>
          <w:sz w:val="20"/>
          <w:szCs w:val="20"/>
        </w:rPr>
        <w:t>:</w:t>
      </w:r>
    </w:p>
    <w:p w:rsidR="008D1FE8" w:rsidRPr="00F40E01" w:rsidRDefault="00897B8C" w:rsidP="00F40E01">
      <w:pPr>
        <w:pStyle w:val="ae"/>
        <w:numPr>
          <w:ilvl w:val="0"/>
          <w:numId w:val="8"/>
        </w:numPr>
        <w:spacing w:after="120"/>
        <w:ind w:firstLineChars="0"/>
        <w:rPr>
          <w:rFonts w:ascii="Times New Roman" w:eastAsia="宋体" w:hAnsi="Times New Roman" w:cs="Times New Roman"/>
          <w:sz w:val="20"/>
          <w:szCs w:val="20"/>
        </w:rPr>
      </w:pPr>
      <w:r w:rsidRPr="00F40E01">
        <w:rPr>
          <w:rFonts w:ascii="Times New Roman" w:eastAsia="宋体" w:hAnsi="Times New Roman" w:cs="Times New Roman" w:hint="eastAsia"/>
          <w:b/>
          <w:bCs/>
          <w:sz w:val="20"/>
          <w:szCs w:val="20"/>
        </w:rPr>
        <w:t>Option 1:</w:t>
      </w:r>
      <w:r w:rsidRPr="00F40E01">
        <w:rPr>
          <w:rFonts w:ascii="Times New Roman" w:eastAsia="宋体" w:hAnsi="Times New Roman" w:cs="Times New Roman" w:hint="eastAsia"/>
          <w:sz w:val="20"/>
          <w:szCs w:val="20"/>
        </w:rPr>
        <w:t xml:space="preserve"> The epoch time tepoch is the start of validity time. The UL synchronization is thought kept only in the duration </w:t>
      </w:r>
      <m:oMath>
        <m:sSub>
          <m:sSubPr>
            <m:ctrlPr>
              <w:rPr>
                <w:rFonts w:ascii="Cambria Math" w:eastAsia="宋体" w:hAnsi="Cambria Math" w:cs="Times New Roman" w:hint="eastAsia"/>
                <w:sz w:val="20"/>
                <w:szCs w:val="20"/>
              </w:rPr>
            </m:ctrlPr>
          </m:sSubPr>
          <m:e>
            <m:r>
              <m:rPr>
                <m:sty m:val="p"/>
              </m:rPr>
              <w:rPr>
                <w:rFonts w:ascii="Cambria Math" w:eastAsia="宋体" w:hAnsi="Cambria Math" w:cs="Times New Roman" w:hint="eastAsia"/>
                <w:sz w:val="20"/>
                <w:szCs w:val="20"/>
              </w:rPr>
              <m:t>t</m:t>
            </m:r>
          </m:e>
          <m:sub>
            <m:r>
              <m:rPr>
                <m:sty m:val="p"/>
              </m:rPr>
              <w:rPr>
                <w:rFonts w:ascii="Cambria Math" w:eastAsia="宋体" w:hAnsi="Cambria Math" w:cs="Times New Roman" w:hint="eastAsia"/>
                <w:sz w:val="20"/>
                <w:szCs w:val="20"/>
              </w:rPr>
              <m:t>epoch</m:t>
            </m:r>
          </m:sub>
        </m:sSub>
        <m:r>
          <m:rPr>
            <m:sty m:val="p"/>
          </m:rPr>
          <w:rPr>
            <w:rFonts w:ascii="Cambria Math" w:eastAsia="宋体" w:hAnsi="Cambria Math" w:cs="Times New Roman" w:hint="eastAsia"/>
            <w:sz w:val="20"/>
            <w:szCs w:val="20"/>
          </w:rPr>
          <m:t>≤</m:t>
        </m:r>
        <m:r>
          <m:rPr>
            <m:sty m:val="p"/>
          </m:rPr>
          <w:rPr>
            <w:rFonts w:ascii="Cambria Math" w:eastAsia="宋体" w:hAnsi="Cambria Math" w:cs="Times New Roman" w:hint="eastAsia"/>
            <w:sz w:val="20"/>
            <w:szCs w:val="20"/>
          </w:rPr>
          <m:t>t&lt;</m:t>
        </m:r>
        <m:sSub>
          <m:sSubPr>
            <m:ctrlPr>
              <w:rPr>
                <w:rFonts w:ascii="Cambria Math" w:eastAsia="宋体" w:hAnsi="Cambria Math" w:cs="Times New Roman" w:hint="eastAsia"/>
                <w:sz w:val="20"/>
                <w:szCs w:val="20"/>
              </w:rPr>
            </m:ctrlPr>
          </m:sSubPr>
          <m:e>
            <m:r>
              <m:rPr>
                <m:sty m:val="p"/>
              </m:rPr>
              <w:rPr>
                <w:rFonts w:ascii="Cambria Math" w:eastAsia="宋体" w:hAnsi="Cambria Math" w:cs="Times New Roman" w:hint="eastAsia"/>
                <w:sz w:val="20"/>
                <w:szCs w:val="20"/>
              </w:rPr>
              <m:t>t</m:t>
            </m:r>
          </m:e>
          <m:sub>
            <m:r>
              <m:rPr>
                <m:sty m:val="p"/>
              </m:rPr>
              <w:rPr>
                <w:rFonts w:ascii="Cambria Math" w:eastAsia="宋体" w:hAnsi="Cambria Math" w:cs="Times New Roman" w:hint="eastAsia"/>
                <w:sz w:val="20"/>
                <w:szCs w:val="20"/>
              </w:rPr>
              <m:t>epoch</m:t>
            </m:r>
          </m:sub>
        </m:sSub>
        <m:r>
          <m:rPr>
            <m:sty m:val="p"/>
          </m:rPr>
          <w:rPr>
            <w:rFonts w:ascii="Cambria Math" w:eastAsia="宋体" w:hAnsi="Cambria Math" w:cs="Times New Roman"/>
            <w:sz w:val="20"/>
            <w:szCs w:val="20"/>
          </w:rPr>
          <m:t>+</m:t>
        </m:r>
        <m:r>
          <m:rPr>
            <m:sty m:val="p"/>
          </m:rPr>
          <w:rPr>
            <w:rFonts w:ascii="MS Gothic" w:eastAsia="MS Gothic" w:hAnsi="MS Gothic" w:cs="MS Gothic" w:hint="eastAsia"/>
            <w:sz w:val="20"/>
            <w:szCs w:val="20"/>
          </w:rPr>
          <m:t>∆</m:t>
        </m:r>
        <m:r>
          <m:rPr>
            <m:sty m:val="p"/>
          </m:rPr>
          <w:rPr>
            <w:rFonts w:ascii="Cambria Math" w:eastAsia="宋体" w:hAnsi="Cambria Math" w:cs="Times New Roman" w:hint="eastAsia"/>
            <w:sz w:val="20"/>
            <w:szCs w:val="20"/>
          </w:rPr>
          <m:t>t</m:t>
        </m:r>
      </m:oMath>
      <w:r w:rsidRPr="00F40E01">
        <w:rPr>
          <w:rFonts w:ascii="Times New Roman" w:eastAsia="宋体" w:hAnsi="Times New Roman" w:cs="Times New Roman" w:hint="eastAsia"/>
          <w:sz w:val="20"/>
          <w:szCs w:val="20"/>
        </w:rPr>
        <w:t xml:space="preserve">, where </w:t>
      </w:r>
      <m:oMath>
        <m:r>
          <m:rPr>
            <m:sty m:val="p"/>
          </m:rPr>
          <w:rPr>
            <w:rFonts w:ascii="MS Gothic" w:eastAsia="MS Gothic" w:hAnsi="MS Gothic" w:cs="MS Gothic" w:hint="eastAsia"/>
            <w:sz w:val="20"/>
            <w:szCs w:val="20"/>
          </w:rPr>
          <m:t>∆</m:t>
        </m:r>
        <m:r>
          <m:rPr>
            <m:sty m:val="p"/>
          </m:rPr>
          <w:rPr>
            <w:rFonts w:ascii="Cambria Math" w:eastAsia="宋体" w:hAnsi="Cambria Math" w:cs="Times New Roman" w:hint="eastAsia"/>
            <w:sz w:val="20"/>
            <w:szCs w:val="20"/>
          </w:rPr>
          <m:t>t</m:t>
        </m:r>
      </m:oMath>
      <w:r w:rsidRPr="00F40E01">
        <w:rPr>
          <w:rFonts w:ascii="Times New Roman" w:eastAsia="宋体" w:hAnsi="Times New Roman" w:cs="Times New Roman" w:hint="eastAsia"/>
          <w:sz w:val="20"/>
          <w:szCs w:val="20"/>
        </w:rPr>
        <w:t xml:space="preserve"> is the validity duration length.</w:t>
      </w:r>
    </w:p>
    <w:p w:rsidR="008D1FE8" w:rsidRPr="00F40E01" w:rsidRDefault="00897B8C" w:rsidP="00F40E01">
      <w:pPr>
        <w:pStyle w:val="ae"/>
        <w:numPr>
          <w:ilvl w:val="0"/>
          <w:numId w:val="8"/>
        </w:numPr>
        <w:spacing w:after="120"/>
        <w:ind w:firstLineChars="0"/>
        <w:rPr>
          <w:rFonts w:ascii="Times New Roman" w:eastAsia="宋体" w:hAnsi="Times New Roman" w:cs="Times New Roman"/>
          <w:sz w:val="20"/>
          <w:szCs w:val="20"/>
        </w:rPr>
      </w:pPr>
      <w:r w:rsidRPr="00F40E01">
        <w:rPr>
          <w:rFonts w:ascii="Times New Roman" w:eastAsia="宋体" w:hAnsi="Times New Roman" w:cs="Times New Roman" w:hint="eastAsia"/>
          <w:b/>
          <w:bCs/>
          <w:sz w:val="20"/>
          <w:szCs w:val="20"/>
        </w:rPr>
        <w:t>Option 2</w:t>
      </w:r>
      <w:r w:rsidRPr="00F40E01">
        <w:rPr>
          <w:rFonts w:ascii="Times New Roman" w:eastAsia="宋体" w:hAnsi="Times New Roman" w:cs="Times New Roman" w:hint="eastAsia"/>
          <w:sz w:val="20"/>
          <w:szCs w:val="20"/>
        </w:rPr>
        <w:t xml:space="preserve">: The validity time starts from the receiving time </w:t>
      </w:r>
      <m:oMath>
        <m:sSub>
          <m:sSubPr>
            <m:ctrlPr>
              <w:rPr>
                <w:rFonts w:ascii="Cambria Math" w:eastAsia="宋体" w:hAnsi="Cambria Math" w:cs="Times New Roman" w:hint="eastAsia"/>
                <w:sz w:val="20"/>
                <w:szCs w:val="20"/>
              </w:rPr>
            </m:ctrlPr>
          </m:sSubPr>
          <m:e>
            <m:r>
              <m:rPr>
                <m:sty m:val="p"/>
              </m:rPr>
              <w:rPr>
                <w:rFonts w:ascii="Cambria Math" w:eastAsia="宋体" w:hAnsi="Cambria Math" w:cs="Times New Roman" w:hint="eastAsia"/>
                <w:sz w:val="20"/>
                <w:szCs w:val="20"/>
              </w:rPr>
              <m:t>t</m:t>
            </m:r>
          </m:e>
          <m:sub>
            <m:r>
              <m:rPr>
                <m:sty m:val="p"/>
              </m:rPr>
              <w:rPr>
                <w:rFonts w:ascii="Cambria Math" w:eastAsia="宋体" w:hAnsi="Cambria Math" w:cs="Times New Roman"/>
                <w:sz w:val="20"/>
                <w:szCs w:val="20"/>
              </w:rPr>
              <m:t>rec</m:t>
            </m:r>
          </m:sub>
        </m:sSub>
      </m:oMath>
      <w:r w:rsidRPr="00F40E01">
        <w:rPr>
          <w:rFonts w:ascii="Times New Roman" w:eastAsia="宋体" w:hAnsi="Times New Roman" w:cs="Times New Roman" w:hint="eastAsia"/>
          <w:sz w:val="20"/>
          <w:szCs w:val="20"/>
        </w:rPr>
        <w:t xml:space="preserve"> of assistance information. The UL synchronization is thought kept in the duration </w:t>
      </w:r>
      <m:oMath>
        <m:sSub>
          <m:sSubPr>
            <m:ctrlPr>
              <w:rPr>
                <w:rFonts w:ascii="Cambria Math" w:eastAsia="宋体" w:hAnsi="Cambria Math" w:cs="Times New Roman" w:hint="eastAsia"/>
                <w:sz w:val="20"/>
                <w:szCs w:val="20"/>
              </w:rPr>
            </m:ctrlPr>
          </m:sSubPr>
          <m:e>
            <m:r>
              <m:rPr>
                <m:sty m:val="p"/>
              </m:rPr>
              <w:rPr>
                <w:rFonts w:ascii="Cambria Math" w:eastAsia="宋体" w:hAnsi="Cambria Math" w:cs="Times New Roman" w:hint="eastAsia"/>
                <w:sz w:val="20"/>
                <w:szCs w:val="20"/>
              </w:rPr>
              <m:t>t</m:t>
            </m:r>
          </m:e>
          <m:sub>
            <m:r>
              <m:rPr>
                <m:sty m:val="p"/>
              </m:rPr>
              <w:rPr>
                <w:rFonts w:ascii="Cambria Math" w:eastAsia="宋体" w:hAnsi="Cambria Math" w:cs="Times New Roman"/>
                <w:sz w:val="20"/>
                <w:szCs w:val="20"/>
              </w:rPr>
              <m:t>rec</m:t>
            </m:r>
          </m:sub>
        </m:sSub>
        <m:r>
          <m:rPr>
            <m:sty m:val="p"/>
          </m:rPr>
          <w:rPr>
            <w:rFonts w:ascii="Cambria Math" w:eastAsia="宋体" w:hAnsi="Cambria Math" w:cs="Times New Roman" w:hint="eastAsia"/>
            <w:sz w:val="20"/>
            <w:szCs w:val="20"/>
          </w:rPr>
          <m:t>≤</m:t>
        </m:r>
        <m:r>
          <m:rPr>
            <m:sty m:val="p"/>
          </m:rPr>
          <w:rPr>
            <w:rFonts w:ascii="Cambria Math" w:eastAsia="宋体" w:hAnsi="Cambria Math" w:cs="Times New Roman" w:hint="eastAsia"/>
            <w:sz w:val="20"/>
            <w:szCs w:val="20"/>
          </w:rPr>
          <m:t>t&lt;</m:t>
        </m:r>
        <m:sSub>
          <m:sSubPr>
            <m:ctrlPr>
              <w:rPr>
                <w:rFonts w:ascii="Cambria Math" w:eastAsia="宋体" w:hAnsi="Cambria Math" w:cs="Times New Roman" w:hint="eastAsia"/>
                <w:sz w:val="20"/>
                <w:szCs w:val="20"/>
              </w:rPr>
            </m:ctrlPr>
          </m:sSubPr>
          <m:e>
            <m:r>
              <m:rPr>
                <m:sty m:val="p"/>
              </m:rPr>
              <w:rPr>
                <w:rFonts w:ascii="Cambria Math" w:eastAsia="宋体" w:hAnsi="Cambria Math" w:cs="Times New Roman" w:hint="eastAsia"/>
                <w:sz w:val="20"/>
                <w:szCs w:val="20"/>
              </w:rPr>
              <m:t>t</m:t>
            </m:r>
          </m:e>
          <m:sub>
            <m:r>
              <m:rPr>
                <m:sty m:val="p"/>
              </m:rPr>
              <w:rPr>
                <w:rFonts w:ascii="Cambria Math" w:eastAsia="宋体" w:hAnsi="Cambria Math" w:cs="Times New Roman" w:hint="eastAsia"/>
                <w:sz w:val="20"/>
                <w:szCs w:val="20"/>
              </w:rPr>
              <m:t>epoch</m:t>
            </m:r>
          </m:sub>
        </m:sSub>
        <m:r>
          <m:rPr>
            <m:sty m:val="p"/>
          </m:rPr>
          <w:rPr>
            <w:rFonts w:ascii="Cambria Math" w:eastAsia="宋体" w:hAnsi="Cambria Math" w:cs="Times New Roman"/>
            <w:sz w:val="20"/>
            <w:szCs w:val="20"/>
          </w:rPr>
          <m:t>+</m:t>
        </m:r>
        <m:r>
          <m:rPr>
            <m:sty m:val="p"/>
          </m:rPr>
          <w:rPr>
            <w:rFonts w:ascii="MS Gothic" w:eastAsia="MS Gothic" w:hAnsi="MS Gothic" w:cs="MS Gothic" w:hint="eastAsia"/>
            <w:sz w:val="20"/>
            <w:szCs w:val="20"/>
          </w:rPr>
          <m:t>∆</m:t>
        </m:r>
        <m:r>
          <m:rPr>
            <m:sty m:val="p"/>
          </m:rPr>
          <w:rPr>
            <w:rFonts w:ascii="Cambria Math" w:eastAsia="宋体" w:hAnsi="Cambria Math" w:cs="Times New Roman" w:hint="eastAsia"/>
            <w:sz w:val="20"/>
            <w:szCs w:val="20"/>
          </w:rPr>
          <m:t>t</m:t>
        </m:r>
      </m:oMath>
      <w:r w:rsidRPr="00F40E01">
        <w:rPr>
          <w:rFonts w:ascii="Times New Roman" w:eastAsia="宋体" w:hAnsi="Times New Roman" w:cs="Times New Roman" w:hint="eastAsia"/>
          <w:sz w:val="20"/>
          <w:szCs w:val="20"/>
        </w:rPr>
        <w:t xml:space="preserve">, where </w:t>
      </w:r>
      <m:oMath>
        <m:r>
          <m:rPr>
            <m:sty m:val="p"/>
          </m:rPr>
          <w:rPr>
            <w:rFonts w:ascii="MS Gothic" w:eastAsia="MS Gothic" w:hAnsi="MS Gothic" w:cs="MS Gothic" w:hint="eastAsia"/>
            <w:sz w:val="20"/>
            <w:szCs w:val="20"/>
          </w:rPr>
          <m:t>∆</m:t>
        </m:r>
        <m:r>
          <m:rPr>
            <m:sty m:val="p"/>
          </m:rPr>
          <w:rPr>
            <w:rFonts w:ascii="Cambria Math" w:eastAsia="宋体" w:hAnsi="Cambria Math" w:cs="Times New Roman" w:hint="eastAsia"/>
            <w:sz w:val="20"/>
            <w:szCs w:val="20"/>
          </w:rPr>
          <m:t>t</m:t>
        </m:r>
      </m:oMath>
      <w:r w:rsidRPr="00F40E01">
        <w:rPr>
          <w:rFonts w:ascii="Times New Roman" w:eastAsia="宋体" w:hAnsi="Times New Roman" w:cs="Times New Roman" w:hint="eastAsia"/>
          <w:sz w:val="20"/>
          <w:szCs w:val="20"/>
        </w:rPr>
        <w:t xml:space="preserve"> is the indicated validity duration length. If </w:t>
      </w:r>
      <m:oMath>
        <m:sSub>
          <m:sSubPr>
            <m:ctrlPr>
              <w:rPr>
                <w:rFonts w:ascii="Cambria Math" w:eastAsia="宋体" w:hAnsi="Cambria Math" w:cs="Times New Roman" w:hint="eastAsia"/>
                <w:sz w:val="20"/>
                <w:szCs w:val="20"/>
              </w:rPr>
            </m:ctrlPr>
          </m:sSubPr>
          <m:e>
            <m:r>
              <m:rPr>
                <m:sty m:val="p"/>
              </m:rPr>
              <w:rPr>
                <w:rFonts w:ascii="Cambria Math" w:eastAsia="宋体" w:hAnsi="Cambria Math" w:cs="Times New Roman" w:hint="eastAsia"/>
                <w:sz w:val="20"/>
                <w:szCs w:val="20"/>
              </w:rPr>
              <m:t>t</m:t>
            </m:r>
          </m:e>
          <m:sub>
            <m:r>
              <m:rPr>
                <m:sty m:val="p"/>
              </m:rPr>
              <w:rPr>
                <w:rFonts w:ascii="Cambria Math" w:eastAsia="宋体" w:hAnsi="Cambria Math" w:cs="Times New Roman"/>
                <w:sz w:val="20"/>
                <w:szCs w:val="20"/>
              </w:rPr>
              <m:t>rec</m:t>
            </m:r>
          </m:sub>
        </m:sSub>
        <m:r>
          <m:rPr>
            <m:sty m:val="p"/>
          </m:rPr>
          <w:rPr>
            <w:rFonts w:ascii="Cambria Math" w:eastAsia="宋体" w:hAnsi="Cambria Math" w:cs="Times New Roman" w:hint="eastAsia"/>
            <w:sz w:val="20"/>
            <w:szCs w:val="20"/>
          </w:rPr>
          <m:t>&lt;</m:t>
        </m:r>
        <m:sSub>
          <m:sSubPr>
            <m:ctrlPr>
              <w:rPr>
                <w:rFonts w:ascii="Cambria Math" w:eastAsia="宋体" w:hAnsi="Cambria Math" w:cs="Times New Roman" w:hint="eastAsia"/>
                <w:sz w:val="20"/>
                <w:szCs w:val="20"/>
              </w:rPr>
            </m:ctrlPr>
          </m:sSubPr>
          <m:e>
            <m:r>
              <m:rPr>
                <m:sty m:val="p"/>
              </m:rPr>
              <w:rPr>
                <w:rFonts w:ascii="Cambria Math" w:eastAsia="宋体" w:hAnsi="Cambria Math" w:cs="Times New Roman" w:hint="eastAsia"/>
                <w:sz w:val="20"/>
                <w:szCs w:val="20"/>
              </w:rPr>
              <m:t>t</m:t>
            </m:r>
          </m:e>
          <m:sub>
            <m:r>
              <m:rPr>
                <m:sty m:val="p"/>
              </m:rPr>
              <w:rPr>
                <w:rFonts w:ascii="Cambria Math" w:eastAsia="宋体" w:hAnsi="Cambria Math" w:cs="Times New Roman" w:hint="eastAsia"/>
                <w:sz w:val="20"/>
                <w:szCs w:val="20"/>
              </w:rPr>
              <m:t>epoch</m:t>
            </m:r>
          </m:sub>
        </m:sSub>
      </m:oMath>
      <w:r w:rsidRPr="00F40E01">
        <w:rPr>
          <w:rFonts w:ascii="Times New Roman" w:eastAsia="宋体" w:hAnsi="Times New Roman" w:cs="Times New Roman" w:hint="eastAsia"/>
          <w:sz w:val="20"/>
          <w:szCs w:val="20"/>
        </w:rPr>
        <w:t>, backward propagation of ephemeris and common TA from epoch time should be supported.</w:t>
      </w:r>
    </w:p>
    <w:p w:rsidR="008D1FE8" w:rsidRDefault="00897B8C">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above two definitions, </w:t>
      </w:r>
      <w:r w:rsidR="003653AC">
        <w:rPr>
          <w:rFonts w:ascii="Times New Roman" w:eastAsia="宋体" w:hAnsi="Times New Roman" w:cs="Times New Roman"/>
          <w:sz w:val="20"/>
          <w:szCs w:val="20"/>
        </w:rPr>
        <w:t>O</w:t>
      </w:r>
      <w:r w:rsidR="003653AC">
        <w:rPr>
          <w:rFonts w:ascii="Times New Roman" w:eastAsia="宋体" w:hAnsi="Times New Roman" w:cs="Times New Roman" w:hint="eastAsia"/>
          <w:sz w:val="20"/>
          <w:szCs w:val="20"/>
        </w:rPr>
        <w:t xml:space="preserve">ption </w:t>
      </w:r>
      <w:r>
        <w:rPr>
          <w:rFonts w:ascii="Times New Roman" w:eastAsia="宋体" w:hAnsi="Times New Roman" w:cs="Times New Roman" w:hint="eastAsia"/>
          <w:sz w:val="20"/>
          <w:szCs w:val="20"/>
        </w:rPr>
        <w:t xml:space="preserve">1 is </w:t>
      </w:r>
      <w:r w:rsidR="00C814CA">
        <w:rPr>
          <w:rFonts w:ascii="Times New Roman" w:eastAsia="宋体" w:hAnsi="Times New Roman" w:cs="Times New Roman"/>
          <w:sz w:val="20"/>
          <w:szCs w:val="20"/>
        </w:rPr>
        <w:t>straighter</w:t>
      </w:r>
      <w:r>
        <w:rPr>
          <w:rFonts w:ascii="Times New Roman" w:eastAsia="宋体" w:hAnsi="Times New Roman" w:cs="Times New Roman" w:hint="eastAsia"/>
          <w:sz w:val="20"/>
          <w:szCs w:val="20"/>
        </w:rPr>
        <w:t xml:space="preserve"> and align</w:t>
      </w:r>
      <w:r w:rsidR="000563F8">
        <w:rPr>
          <w:rFonts w:ascii="Times New Roman" w:eastAsia="宋体" w:hAnsi="Times New Roman" w:cs="Times New Roman" w:hint="eastAsia"/>
          <w:sz w:val="20"/>
          <w:szCs w:val="20"/>
        </w:rPr>
        <w:t>ed</w:t>
      </w:r>
      <w:r>
        <w:rPr>
          <w:rFonts w:ascii="Times New Roman" w:eastAsia="宋体" w:hAnsi="Times New Roman" w:cs="Times New Roman" w:hint="eastAsia"/>
          <w:sz w:val="20"/>
          <w:szCs w:val="20"/>
        </w:rPr>
        <w:t xml:space="preserve"> with RAN2 agreements. In TS 38.331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_Ref9134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followings are specified for SIB19, which is used for assistance information transmission:</w:t>
      </w:r>
    </w:p>
    <w:tbl>
      <w:tblPr>
        <w:tblStyle w:val="ab"/>
        <w:tblW w:w="0" w:type="auto"/>
        <w:tblInd w:w="440" w:type="dxa"/>
        <w:tblLook w:val="04A0" w:firstRow="1" w:lastRow="0" w:firstColumn="1" w:lastColumn="0" w:noHBand="0" w:noVBand="1"/>
      </w:tblPr>
      <w:tblGrid>
        <w:gridCol w:w="8910"/>
      </w:tblGrid>
      <w:tr w:rsidR="00C13C21" w:rsidTr="00C13C21">
        <w:tc>
          <w:tcPr>
            <w:tcW w:w="9350" w:type="dxa"/>
          </w:tcPr>
          <w:p w:rsidR="00C13C21" w:rsidRPr="00C13C21" w:rsidRDefault="00C13C21" w:rsidP="00C13C21">
            <w:pPr>
              <w:numPr>
                <w:ilvl w:val="7"/>
                <w:numId w:val="0"/>
              </w:numPr>
              <w:spacing w:after="120"/>
              <w:rPr>
                <w:rFonts w:ascii="Times New Roman" w:eastAsia="宋体" w:hAnsi="Times New Roman" w:cs="Times New Roman"/>
                <w:sz w:val="20"/>
                <w:szCs w:val="20"/>
              </w:rPr>
            </w:pPr>
            <w:r w:rsidRPr="00C13C21">
              <w:rPr>
                <w:rFonts w:ascii="Times New Roman" w:eastAsia="宋体" w:hAnsi="Times New Roman" w:cs="Times New Roman"/>
                <w:sz w:val="20"/>
                <w:szCs w:val="20"/>
              </w:rPr>
              <w:t>5.2.2.4.21</w:t>
            </w:r>
            <w:r w:rsidRPr="00C13C21">
              <w:rPr>
                <w:rFonts w:ascii="Times New Roman" w:eastAsia="宋体" w:hAnsi="Times New Roman" w:cs="Times New Roman"/>
                <w:sz w:val="20"/>
                <w:szCs w:val="20"/>
              </w:rPr>
              <w:tab/>
              <w:t>Actions upon reception of SIB19</w:t>
            </w:r>
          </w:p>
          <w:p w:rsidR="00C13C21" w:rsidRPr="00C13C21" w:rsidRDefault="00C13C21" w:rsidP="00C13C21">
            <w:pPr>
              <w:numPr>
                <w:ilvl w:val="7"/>
                <w:numId w:val="0"/>
              </w:numPr>
              <w:spacing w:after="120"/>
              <w:rPr>
                <w:rFonts w:ascii="Times New Roman" w:eastAsia="宋体" w:hAnsi="Times New Roman" w:cs="Times New Roman"/>
                <w:sz w:val="20"/>
                <w:szCs w:val="20"/>
              </w:rPr>
            </w:pPr>
            <w:r w:rsidRPr="00C13C21">
              <w:rPr>
                <w:rFonts w:ascii="Times New Roman" w:eastAsia="宋体" w:hAnsi="Times New Roman" w:cs="Times New Roman"/>
                <w:sz w:val="20"/>
                <w:szCs w:val="20"/>
              </w:rPr>
              <w:t>Upon receiving SIB19, the UE shall:</w:t>
            </w:r>
          </w:p>
          <w:p w:rsidR="00C13C21" w:rsidRPr="00C13C21" w:rsidRDefault="00C13C21" w:rsidP="00C13C21">
            <w:pPr>
              <w:numPr>
                <w:ilvl w:val="7"/>
                <w:numId w:val="0"/>
              </w:numPr>
              <w:spacing w:after="120"/>
              <w:rPr>
                <w:rFonts w:ascii="Times New Roman" w:eastAsia="宋体" w:hAnsi="Times New Roman" w:cs="Times New Roman"/>
                <w:sz w:val="20"/>
                <w:szCs w:val="20"/>
              </w:rPr>
            </w:pPr>
            <w:r w:rsidRPr="00C13C21">
              <w:rPr>
                <w:rFonts w:ascii="Times New Roman" w:eastAsia="宋体" w:hAnsi="Times New Roman" w:cs="Times New Roman"/>
                <w:sz w:val="20"/>
                <w:szCs w:val="20"/>
              </w:rPr>
              <w:t>1&gt;</w:t>
            </w:r>
            <w:r w:rsidRPr="00C13C21">
              <w:rPr>
                <w:rFonts w:ascii="Times New Roman" w:eastAsia="宋体" w:hAnsi="Times New Roman" w:cs="Times New Roman"/>
                <w:sz w:val="20"/>
                <w:szCs w:val="20"/>
              </w:rPr>
              <w:tab/>
              <w:t>start or restart T430 with the duration ntn-UlSyncValidityDuration from the subframe indicated by epochTime;</w:t>
            </w:r>
          </w:p>
          <w:p w:rsidR="00C13C21" w:rsidRPr="00C13C21" w:rsidRDefault="00C13C21" w:rsidP="00C13C21">
            <w:pPr>
              <w:numPr>
                <w:ilvl w:val="7"/>
                <w:numId w:val="0"/>
              </w:numPr>
              <w:spacing w:after="120"/>
              <w:rPr>
                <w:rFonts w:ascii="Times New Roman" w:eastAsia="宋体" w:hAnsi="Times New Roman" w:cs="Times New Roman"/>
                <w:sz w:val="20"/>
                <w:szCs w:val="20"/>
              </w:rPr>
            </w:pPr>
            <w:r w:rsidRPr="00C13C21">
              <w:rPr>
                <w:rFonts w:ascii="Times New Roman" w:eastAsia="宋体" w:hAnsi="Times New Roman" w:cs="Times New Roman"/>
                <w:sz w:val="20"/>
                <w:szCs w:val="20"/>
              </w:rPr>
              <w:t>NOTE:</w:t>
            </w:r>
            <w:r w:rsidRPr="00C13C21">
              <w:rPr>
                <w:rFonts w:ascii="Times New Roman" w:eastAsia="宋体" w:hAnsi="Times New Roman" w:cs="Times New Roman"/>
                <w:sz w:val="20"/>
                <w:szCs w:val="20"/>
              </w:rPr>
              <w:tab/>
              <w:t>UE should attempt to re-acquire SIB19 before the end of the duration indicated by ntn-UlSyncValidityDuration and epochTime by UE implementation.</w:t>
            </w:r>
          </w:p>
        </w:tc>
      </w:tr>
    </w:tbl>
    <w:p w:rsidR="008D1FE8" w:rsidRDefault="00897B8C" w:rsidP="00F40E01">
      <w:pPr>
        <w:numPr>
          <w:ilvl w:val="7"/>
          <w:numId w:val="0"/>
        </w:numPr>
        <w:spacing w:beforeLines="50" w:before="120" w:after="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From above description, the validity timer specifies a duration</w:t>
      </w:r>
      <w:r>
        <w:rPr>
          <w:rFonts w:ascii="Times New Roman" w:hAnsi="Times New Roman" w:cs="Times New Roman"/>
          <w:i/>
          <w:iCs/>
          <w:sz w:val="21"/>
          <w:szCs w:val="18"/>
        </w:rPr>
        <w:t xml:space="preserve"> </w:t>
      </w:r>
      <w:r>
        <w:rPr>
          <w:rFonts w:ascii="Times New Roman" w:hAnsi="Times New Roman" w:cs="Times New Roman"/>
          <w:i/>
          <w:iCs/>
        </w:rPr>
        <w:t>ntn-UlSyncValidityDuration</w:t>
      </w:r>
      <w:r>
        <w:rPr>
          <w:rFonts w:ascii="Times New Roman" w:hAnsi="Times New Roman" w:cs="Times New Roman" w:hint="eastAsia"/>
          <w:i/>
          <w:iCs/>
        </w:rPr>
        <w:t xml:space="preserve"> </w:t>
      </w:r>
      <w:r>
        <w:rPr>
          <w:rFonts w:ascii="Times New Roman" w:eastAsia="宋体" w:hAnsi="Times New Roman" w:cs="Times New Roman" w:hint="eastAsia"/>
          <w:sz w:val="20"/>
          <w:szCs w:val="20"/>
        </w:rPr>
        <w:t xml:space="preserve">from the epoch time. Therefore, it is naturally to </w:t>
      </w:r>
      <w:r w:rsidR="001B7CEC">
        <w:rPr>
          <w:rFonts w:ascii="Times New Roman" w:eastAsia="宋体" w:hAnsi="Times New Roman" w:cs="Times New Roman"/>
          <w:sz w:val="20"/>
          <w:szCs w:val="20"/>
        </w:rPr>
        <w:t>take</w:t>
      </w:r>
      <w:r w:rsidR="001B7CEC">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option 1, i.e., regard the validity duration specified by the validity timer as the validity time of assistance information. No additional enhancement or specification is needed to support option 1. While if option 2 is to be supported, the validity time should be the sum of validity duration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epoch</m:t>
            </m:r>
          </m:sub>
        </m:sSub>
        <m:r>
          <m:rPr>
            <m:sty m:val="p"/>
          </m:rPr>
          <w:rPr>
            <w:rFonts w:ascii="Cambria Math" w:hAnsi="Cambria Math" w:cs="Times New Roman"/>
            <w:sz w:val="20"/>
            <w:szCs w:val="20"/>
          </w:rPr>
          <m:t>≤t&lt;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epoch</m:t>
            </m:r>
          </m:sub>
        </m:sSub>
        <m:r>
          <m:rPr>
            <m:sty m:val="p"/>
          </m:rPr>
          <w:rPr>
            <w:rFonts w:ascii="Cambria Math" w:hAnsi="Cambria Math" w:cs="Times New Roman"/>
            <w:sz w:val="20"/>
            <w:szCs w:val="20"/>
          </w:rPr>
          <m:t>+∆t</m:t>
        </m:r>
      </m:oMath>
      <w:r>
        <w:rPr>
          <w:rFonts w:hAnsi="Cambria Math" w:cs="Times New Roman" w:hint="eastAsia"/>
          <w:sz w:val="20"/>
          <w:szCs w:val="20"/>
        </w:rPr>
        <w:t xml:space="preserve"> </w:t>
      </w:r>
      <w:r>
        <w:rPr>
          <w:rFonts w:ascii="Times New Roman" w:eastAsia="宋体" w:hAnsi="Times New Roman" w:cs="Times New Roman" w:hint="eastAsia"/>
          <w:sz w:val="20"/>
          <w:szCs w:val="20"/>
        </w:rPr>
        <w:t xml:space="preserve">specified by validity timer and the </w:t>
      </w:r>
      <w:r w:rsidR="00937775">
        <w:rPr>
          <w:rFonts w:ascii="Times New Roman" w:eastAsia="宋体" w:hAnsi="Times New Roman" w:cs="Times New Roman"/>
          <w:sz w:val="20"/>
          <w:szCs w:val="20"/>
        </w:rPr>
        <w:t>duration</w:t>
      </w:r>
      <m:oMath>
        <m:r>
          <m:rPr>
            <m:sty m:val="p"/>
          </m:rPr>
          <w:rPr>
            <w:rFonts w:ascii="Cambria Math" w:eastAsia="宋体" w:hAnsi="Cambria Math" w:cs="Times New Roman"/>
            <w:sz w:val="20"/>
            <w:szCs w:val="20"/>
          </w:rPr>
          <m:t xml:space="preserve"> </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rec</m:t>
            </m:r>
          </m:sub>
        </m:sSub>
        <m:r>
          <m:rPr>
            <m:sty m:val="p"/>
          </m:rPr>
          <w:rPr>
            <w:rFonts w:ascii="Cambria Math" w:hAnsi="Cambria Math" w:cs="Times New Roman"/>
            <w:sz w:val="20"/>
            <w:szCs w:val="20"/>
          </w:rPr>
          <m:t>≤t&lt;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epoch</m:t>
            </m:r>
          </m:sub>
        </m:sSub>
      </m:oMath>
      <w:r>
        <w:rPr>
          <w:rFonts w:ascii="Times New Roman" w:eastAsia="宋体" w:hAnsi="Times New Roman" w:cs="Times New Roman" w:hint="eastAsia"/>
          <w:sz w:val="20"/>
          <w:szCs w:val="20"/>
        </w:rPr>
        <w:t>. This will be confusing since the assistance information need be valid outside the validity duration specified validity timer.</w:t>
      </w:r>
    </w:p>
    <w:p w:rsidR="008D1FE8" w:rsidRDefault="00897B8C">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Moreover, option 2will not bring significant gain when compared with option 1. In RAN1#109e, there were some views that option 2 can enable longer validity time or reduce access latency compared to option 1. However, the gain is not significant when considering common TA. In previous meetings, fitting was considered in evaluation of validity duration of common TA. With fitting, the residual TA error is not minimized at epoch time and will not monotonously increase along with the distance from epoch time, e.g.,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_Ref10484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hAnsi="Times New Roman" w:cs="Times New Roman"/>
          <w:sz w:val="20"/>
          <w:szCs w:val="20"/>
        </w:rPr>
        <w:t>Figure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That is, validity duration of common TA cannot be increased by enabling backward </w:t>
      </w:r>
      <w:r>
        <w:rPr>
          <w:rFonts w:ascii="Times New Roman" w:eastAsia="宋体" w:hAnsi="Times New Roman" w:cs="Times New Roman" w:hint="eastAsia"/>
          <w:sz w:val="20"/>
          <w:szCs w:val="20"/>
        </w:rPr>
        <w:lastRenderedPageBreak/>
        <w:t xml:space="preserve">propagation. Since the validity time is defined for both common TA and ephemeris, backward propagation in option 2 cannot significantly increase the overall validity time.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rec</m:t>
            </m:r>
          </m:sub>
        </m:sSub>
        <m:r>
          <m:rPr>
            <m:sty m:val="p"/>
          </m:rPr>
          <w:rPr>
            <w:rFonts w:ascii="Cambria Math" w:hAnsi="Cambria Math" w:cs="Times New Roman"/>
            <w:sz w:val="20"/>
            <w:szCs w:val="20"/>
          </w:rPr>
          <m:t>&lt;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epoch</m:t>
            </m:r>
          </m:sub>
        </m:sSub>
      </m:oMath>
      <w:r>
        <w:rPr>
          <w:rFonts w:ascii="Times New Roman" w:eastAsia="宋体" w:hAnsi="Times New Roman" w:cs="Times New Roman" w:hint="eastAsia"/>
          <w:sz w:val="20"/>
          <w:szCs w:val="20"/>
        </w:rPr>
        <w:t xml:space="preserve">, the indicated validity duration </w:t>
      </w:r>
      <m:oMath>
        <m:r>
          <m:rPr>
            <m:sty m:val="p"/>
          </m:rPr>
          <w:rPr>
            <w:rFonts w:ascii="Cambria Math" w:hAnsi="Cambria Math" w:cs="Times New Roman"/>
            <w:sz w:val="20"/>
            <w:szCs w:val="20"/>
          </w:rPr>
          <m:t>∆t</m:t>
        </m:r>
      </m:oMath>
      <w:r>
        <w:rPr>
          <w:rFonts w:ascii="Times New Roman" w:eastAsia="宋体" w:hAnsi="Times New Roman" w:cs="Times New Roman" w:hint="eastAsia"/>
          <w:sz w:val="20"/>
          <w:szCs w:val="20"/>
        </w:rPr>
        <w:t xml:space="preserve"> should be reduced accordingly to keep same validity time for common TA. Moreover, w.r.t to access latency, option 1 can also allow low latency by setting the epoch time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epoch</m:t>
            </m:r>
          </m:sub>
        </m:sSub>
      </m:oMath>
      <w:r>
        <w:rPr>
          <w:rFonts w:ascii="Times New Roman" w:eastAsia="宋体" w:hAnsi="Times New Roman" w:cs="Times New Roman" w:hint="eastAsia"/>
          <w:sz w:val="20"/>
          <w:szCs w:val="20"/>
        </w:rPr>
        <w:t xml:space="preserve"> near the receiving time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rec</m:t>
            </m:r>
          </m:sub>
        </m:sSub>
      </m:oMath>
      <w:r>
        <w:rPr>
          <w:rFonts w:hAnsi="Cambria Math" w:cs="Times New Roman" w:hint="eastAsia"/>
          <w:sz w:val="20"/>
          <w:szCs w:val="20"/>
        </w:rPr>
        <w:t xml:space="preserve"> </w:t>
      </w:r>
      <w:r>
        <w:rPr>
          <w:rFonts w:ascii="Times New Roman" w:eastAsia="宋体" w:hAnsi="Times New Roman" w:cs="Times New Roman" w:hint="eastAsia"/>
          <w:sz w:val="20"/>
          <w:szCs w:val="20"/>
        </w:rPr>
        <w:t xml:space="preserve">of assistance information or in the past. </w:t>
      </w:r>
    </w:p>
    <w:p w:rsidR="008D1FE8" w:rsidRDefault="00897B8C">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noProof/>
          <w:sz w:val="20"/>
          <w:szCs w:val="20"/>
        </w:rPr>
        <w:drawing>
          <wp:inline distT="0" distB="0" distL="114300" distR="114300">
            <wp:extent cx="2774315" cy="2080895"/>
            <wp:effectExtent l="0" t="0" r="14605" b="6985"/>
            <wp:docPr id="4" name="图片 4" descr="curvecompari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rvecomparison"/>
                    <pic:cNvPicPr>
                      <a:picLocks noChangeAspect="1"/>
                    </pic:cNvPicPr>
                  </pic:nvPicPr>
                  <pic:blipFill>
                    <a:blip r:embed="rId9"/>
                    <a:stretch>
                      <a:fillRect/>
                    </a:stretch>
                  </pic:blipFill>
                  <pic:spPr>
                    <a:xfrm>
                      <a:off x="0" y="0"/>
                      <a:ext cx="2774315" cy="2080895"/>
                    </a:xfrm>
                    <a:prstGeom prst="rect">
                      <a:avLst/>
                    </a:prstGeom>
                  </pic:spPr>
                </pic:pic>
              </a:graphicData>
            </a:graphic>
          </wp:inline>
        </w:drawing>
      </w:r>
      <w:r>
        <w:rPr>
          <w:rFonts w:ascii="Times New Roman" w:eastAsia="宋体" w:hAnsi="Times New Roman" w:cs="Times New Roman" w:hint="eastAsia"/>
          <w:noProof/>
          <w:sz w:val="20"/>
          <w:szCs w:val="20"/>
        </w:rPr>
        <w:drawing>
          <wp:inline distT="0" distB="0" distL="114300" distR="114300">
            <wp:extent cx="2809875" cy="2107565"/>
            <wp:effectExtent l="0" t="0" r="9525" b="10795"/>
            <wp:docPr id="1" name="图片 1" descr="residual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residualerror"/>
                    <pic:cNvPicPr>
                      <a:picLocks noChangeAspect="1"/>
                    </pic:cNvPicPr>
                  </pic:nvPicPr>
                  <pic:blipFill>
                    <a:blip r:embed="rId10"/>
                    <a:stretch>
                      <a:fillRect/>
                    </a:stretch>
                  </pic:blipFill>
                  <pic:spPr>
                    <a:xfrm>
                      <a:off x="0" y="0"/>
                      <a:ext cx="2809875" cy="2107565"/>
                    </a:xfrm>
                    <a:prstGeom prst="rect">
                      <a:avLst/>
                    </a:prstGeom>
                  </pic:spPr>
                </pic:pic>
              </a:graphicData>
            </a:graphic>
          </wp:inline>
        </w:drawing>
      </w:r>
    </w:p>
    <w:p w:rsidR="008D1FE8" w:rsidRDefault="00897B8C">
      <w:pPr>
        <w:numPr>
          <w:ilvl w:val="0"/>
          <w:numId w:val="6"/>
        </w:numPr>
        <w:tabs>
          <w:tab w:val="left" w:pos="2609"/>
        </w:tabs>
        <w:adjustRightInd w:val="0"/>
        <w:snapToGrid w:val="0"/>
        <w:spacing w:beforeLines="50" w:before="120" w:afterLines="50" w:after="120"/>
        <w:ind w:leftChars="200" w:left="440"/>
        <w:jc w:val="center"/>
        <w:rPr>
          <w:rFonts w:ascii="Times New Roman" w:hAnsi="Times New Roman" w:cs="Times New Roman"/>
          <w:sz w:val="20"/>
          <w:szCs w:val="20"/>
        </w:rPr>
      </w:pPr>
      <w:bookmarkStart w:id="4" w:name="_Ref10484"/>
      <w:r>
        <w:rPr>
          <w:rFonts w:ascii="Times New Roman" w:hAnsi="Times New Roman" w:cs="Times New Roman" w:hint="eastAsia"/>
          <w:sz w:val="20"/>
          <w:szCs w:val="20"/>
        </w:rPr>
        <w:t>Real and approximated common TA           (b) Residual error of approximated common TA</w:t>
      </w:r>
    </w:p>
    <w:p w:rsidR="008D1FE8" w:rsidRDefault="00897B8C">
      <w:pPr>
        <w:tabs>
          <w:tab w:val="left" w:pos="2609"/>
        </w:tabs>
        <w:adjustRightInd w:val="0"/>
        <w:snapToGrid w:val="0"/>
        <w:spacing w:beforeLines="50" w:before="120" w:afterLines="50" w:after="120"/>
        <w:ind w:leftChars="200" w:left="440"/>
        <w:jc w:val="center"/>
        <w:rPr>
          <w:rFonts w:ascii="Times New Roman" w:hAnsi="Times New Roman" w:cs="Times New Roman"/>
          <w:sz w:val="20"/>
          <w:szCs w:val="20"/>
        </w:rPr>
      </w:pPr>
      <w:bookmarkStart w:id="5" w:name="_Ref11006"/>
      <w:r>
        <w:rPr>
          <w:rFonts w:ascii="Times New Roman" w:hAnsi="Times New Roman" w:cs="Times New Roman"/>
          <w:sz w:val="20"/>
          <w:szCs w:val="20"/>
        </w:rPr>
        <w:t xml:space="preserve">Figure </w:t>
      </w:r>
      <w:r>
        <w:rPr>
          <w:rFonts w:ascii="Times New Roman" w:hAnsi="Times New Roman" w:cs="Times New Roman"/>
          <w:b/>
          <w:bCs/>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b/>
          <w:bCs/>
          <w:sz w:val="20"/>
          <w:szCs w:val="20"/>
        </w:rPr>
        <w:fldChar w:fldCharType="separate"/>
      </w:r>
      <w:r>
        <w:rPr>
          <w:rFonts w:ascii="Times New Roman" w:hAnsi="Times New Roman" w:cs="Times New Roman"/>
          <w:sz w:val="20"/>
          <w:szCs w:val="20"/>
        </w:rPr>
        <w:t>1</w:t>
      </w:r>
      <w:r>
        <w:rPr>
          <w:rFonts w:ascii="Times New Roman" w:hAnsi="Times New Roman" w:cs="Times New Roman"/>
          <w:b/>
          <w:bCs/>
          <w:sz w:val="20"/>
          <w:szCs w:val="20"/>
        </w:rPr>
        <w:fldChar w:fldCharType="end"/>
      </w:r>
      <w:bookmarkEnd w:id="4"/>
      <w:bookmarkEnd w:id="5"/>
      <w:r>
        <w:rPr>
          <w:rFonts w:ascii="Times New Roman" w:hAnsi="Times New Roman" w:cs="Times New Roman"/>
          <w:sz w:val="20"/>
          <w:szCs w:val="20"/>
        </w:rPr>
        <w:t xml:space="preserve"> </w:t>
      </w:r>
      <w:r>
        <w:rPr>
          <w:rFonts w:ascii="Times New Roman" w:hAnsi="Times New Roman" w:cs="Times New Roman" w:hint="eastAsia"/>
          <w:sz w:val="20"/>
          <w:szCs w:val="20"/>
        </w:rPr>
        <w:t>Evaluation of common TA fitting for LEO-600</w:t>
      </w:r>
    </w:p>
    <w:p w:rsidR="008D1FE8" w:rsidRDefault="00897B8C">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Based on above analysis, option 1 is </w:t>
      </w:r>
      <w:r w:rsidR="00B00CAF">
        <w:rPr>
          <w:rFonts w:ascii="Times New Roman" w:eastAsia="宋体" w:hAnsi="Times New Roman" w:cs="Times New Roman"/>
          <w:sz w:val="20"/>
          <w:szCs w:val="20"/>
        </w:rPr>
        <w:t>straightforward</w:t>
      </w:r>
      <w:r>
        <w:rPr>
          <w:rFonts w:ascii="Times New Roman" w:eastAsia="宋体" w:hAnsi="Times New Roman" w:cs="Times New Roman" w:hint="eastAsia"/>
          <w:sz w:val="20"/>
          <w:szCs w:val="20"/>
        </w:rPr>
        <w:t xml:space="preserve"> forward and align</w:t>
      </w:r>
      <w:r w:rsidR="009C2BC1">
        <w:rPr>
          <w:rFonts w:ascii="Times New Roman" w:eastAsia="宋体" w:hAnsi="Times New Roman" w:cs="Times New Roman" w:hint="eastAsia"/>
          <w:sz w:val="20"/>
          <w:szCs w:val="20"/>
        </w:rPr>
        <w:t>ed</w:t>
      </w:r>
      <w:r>
        <w:rPr>
          <w:rFonts w:ascii="Times New Roman" w:eastAsia="宋体" w:hAnsi="Times New Roman" w:cs="Times New Roman" w:hint="eastAsia"/>
          <w:sz w:val="20"/>
          <w:szCs w:val="20"/>
        </w:rPr>
        <w:t xml:space="preserve"> with RAN2 agreements. Moreover, option 2 does not have significant advantages over option 1. Hence, option 1 should be adopted in the definition of validity time.</w:t>
      </w:r>
    </w:p>
    <w:p w:rsidR="008D1FE8" w:rsidRDefault="00897B8C">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hint="eastAsia"/>
          <w:b/>
          <w:i/>
          <w:sz w:val="20"/>
          <w:szCs w:val="20"/>
        </w:rPr>
        <w:t xml:space="preserve">Observation 1: </w:t>
      </w:r>
      <w:r>
        <w:rPr>
          <w:rFonts w:ascii="Times New Roman" w:eastAsia="宋体" w:hAnsi="Times New Roman" w:cs="Times New Roman" w:hint="eastAsia"/>
          <w:i/>
          <w:sz w:val="20"/>
          <w:szCs w:val="20"/>
        </w:rPr>
        <w:t>In RAN2 agreements, the validity timer specifies a validity duration from the epoch time.</w:t>
      </w:r>
      <w:r>
        <w:rPr>
          <w:rFonts w:ascii="Times New Roman" w:hAnsi="Times New Roman" w:cs="Times New Roman" w:hint="eastAsia"/>
          <w:i/>
          <w:sz w:val="20"/>
          <w:szCs w:val="20"/>
        </w:rPr>
        <w:t xml:space="preserve"> </w:t>
      </w:r>
    </w:p>
    <w:p w:rsidR="008D1FE8" w:rsidRDefault="00897B8C">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 </w:t>
      </w:r>
      <w:r>
        <w:rPr>
          <w:rFonts w:ascii="Times New Roman" w:hAnsi="Times New Roman" w:cs="Times New Roman" w:hint="eastAsia"/>
          <w:i/>
          <w:sz w:val="20"/>
          <w:szCs w:val="20"/>
        </w:rPr>
        <w:t>The epoch time t</w:t>
      </w:r>
      <w:r>
        <w:rPr>
          <w:rFonts w:ascii="Times New Roman" w:hAnsi="Times New Roman" w:cs="Times New Roman" w:hint="eastAsia"/>
          <w:i/>
          <w:sz w:val="20"/>
          <w:szCs w:val="20"/>
          <w:vertAlign w:val="subscript"/>
        </w:rPr>
        <w:t>epoch</w:t>
      </w:r>
      <w:r>
        <w:rPr>
          <w:rFonts w:ascii="Times New Roman" w:hAnsi="Times New Roman" w:cs="Times New Roman" w:hint="eastAsia"/>
          <w:i/>
          <w:sz w:val="20"/>
          <w:szCs w:val="20"/>
        </w:rPr>
        <w:t xml:space="preserve"> should be set as the start of validity time period. The UL synchronization is thought kept only in the time period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epoch</m:t>
            </m:r>
          </m:sub>
        </m:sSub>
        <m:r>
          <w:rPr>
            <w:rFonts w:ascii="Cambria Math" w:hAnsi="Cambria Math" w:cs="Times New Roman" w:hint="eastAsia"/>
            <w:sz w:val="20"/>
            <w:szCs w:val="20"/>
          </w:rPr>
          <m:t>≤</m:t>
        </m:r>
        <m:r>
          <w:rPr>
            <w:rFonts w:ascii="Cambria Math" w:hAnsi="Cambria Math" w:cs="Times New Roman"/>
            <w:sz w:val="20"/>
            <w:szCs w:val="20"/>
          </w:rPr>
          <m:t>t&lt;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epoch</m:t>
            </m:r>
          </m:sub>
        </m:sSub>
        <m:r>
          <w:rPr>
            <w:rFonts w:ascii="Cambria Math" w:hAnsi="Cambria Math" w:cs="Times New Roman"/>
            <w:sz w:val="20"/>
            <w:szCs w:val="20"/>
          </w:rPr>
          <m:t>+</m:t>
        </m:r>
        <m:r>
          <w:rPr>
            <w:rFonts w:ascii="Cambria Math" w:hAnsi="Cambria Math" w:cs="Times New Roman" w:hint="eastAsia"/>
            <w:sz w:val="20"/>
            <w:szCs w:val="20"/>
          </w:rPr>
          <m:t>∆</m:t>
        </m:r>
        <m:r>
          <w:rPr>
            <w:rFonts w:ascii="Cambria Math" w:hAnsi="Cambria Math" w:cs="Times New Roman"/>
            <w:sz w:val="20"/>
            <w:szCs w:val="20"/>
          </w:rPr>
          <m:t>t</m:t>
        </m:r>
      </m:oMath>
      <w:r>
        <w:rPr>
          <w:rFonts w:ascii="Times New Roman" w:hAnsi="Times New Roman" w:cs="Times New Roman" w:hint="eastAsia"/>
          <w:i/>
          <w:sz w:val="20"/>
          <w:szCs w:val="20"/>
        </w:rPr>
        <w:t xml:space="preserve">, where </w:t>
      </w:r>
      <m:oMath>
        <m:r>
          <w:rPr>
            <w:rFonts w:ascii="Cambria Math" w:hAnsi="Cambria Math" w:cs="Times New Roman" w:hint="eastAsia"/>
            <w:sz w:val="20"/>
            <w:szCs w:val="20"/>
          </w:rPr>
          <m:t>∆</m:t>
        </m:r>
        <m:r>
          <w:rPr>
            <w:rFonts w:ascii="Cambria Math" w:hAnsi="Cambria Math" w:cs="Times New Roman"/>
            <w:sz w:val="20"/>
            <w:szCs w:val="20"/>
          </w:rPr>
          <m:t>t</m:t>
        </m:r>
      </m:oMath>
      <w:r>
        <w:rPr>
          <w:rFonts w:ascii="Times New Roman" w:hAnsi="Times New Roman" w:cs="Times New Roman" w:hint="eastAsia"/>
          <w:i/>
          <w:sz w:val="20"/>
          <w:szCs w:val="20"/>
        </w:rPr>
        <w:t xml:space="preserve"> is the validity duration indicated by higher layer parameter </w:t>
      </w:r>
      <w:r>
        <w:rPr>
          <w:rFonts w:ascii="Times New Roman" w:hAnsi="Times New Roman" w:cs="Times New Roman"/>
          <w:i/>
          <w:sz w:val="20"/>
          <w:szCs w:val="20"/>
        </w:rPr>
        <w:t>ntn-UlSyncValidityDuration</w:t>
      </w:r>
      <w:r>
        <w:rPr>
          <w:rFonts w:ascii="Times New Roman" w:hAnsi="Times New Roman" w:cs="Times New Roman" w:hint="eastAsia"/>
          <w:i/>
          <w:sz w:val="20"/>
          <w:szCs w:val="20"/>
        </w:rPr>
        <w:t>.</w:t>
      </w:r>
    </w:p>
    <w:p w:rsidR="008D1FE8" w:rsidRDefault="00897B8C">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Interpretation of SFN indicating Epoch time</w:t>
      </w:r>
    </w:p>
    <w:p w:rsidR="008D1FE8" w:rsidRDefault="00897B8C">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As discussed in previous section, the epoch time should be set as the start of whole validity time period. In this case, the epoch time should be set in the past, at the receiving time of assistance information, or in near future to avoid loss of UL synchronization and reduce access latency. In such case, the legacy approach for SIB9 can be reused, i.e., interpreting the subframe indicated by SFN and subframe number as the nearest one to the subframe where the message indicating epoch time is received. With this interpretation, the network can either set the epoch time at past to ensure the UL synchronization is not lost, or set the epoch time at near future to fully utilize the validity duration.</w:t>
      </w:r>
    </w:p>
    <w:p w:rsidR="008D1FE8" w:rsidRDefault="00897B8C">
      <w:pPr>
        <w:numPr>
          <w:ilvl w:val="7"/>
          <w:numId w:val="0"/>
        </w:numPr>
        <w:spacing w:after="120"/>
        <w:ind w:leftChars="200" w:left="440"/>
        <w:rPr>
          <w:rFonts w:ascii="Times New Roman" w:hAnsi="Times New Roman"/>
          <w:i/>
          <w:iCs/>
          <w:sz w:val="20"/>
          <w:szCs w:val="20"/>
        </w:rPr>
      </w:pPr>
      <w:r>
        <w:rPr>
          <w:rFonts w:ascii="Times New Roman" w:hAnsi="Times New Roman" w:cs="Times New Roman" w:hint="eastAsia"/>
          <w:b/>
          <w:i/>
          <w:sz w:val="20"/>
          <w:szCs w:val="20"/>
        </w:rPr>
        <w:t xml:space="preserve">Proposal 2: </w:t>
      </w:r>
      <w:r>
        <w:rPr>
          <w:rFonts w:ascii="Times New Roman" w:hAnsi="Times New Roman" w:hint="eastAsia"/>
          <w:i/>
          <w:iCs/>
          <w:sz w:val="20"/>
          <w:szCs w:val="20"/>
        </w:rPr>
        <w:t>If indicated explicitly by a SFN and subframe number, the Epoch time t_epoch is the sub-frame which is nearest to the sub-frame where the message indicating the Epoch time is received.</w:t>
      </w:r>
    </w:p>
    <w:p w:rsidR="008D1FE8" w:rsidRDefault="00897B8C">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8D1FE8" w:rsidRDefault="00897B8C">
      <w:pPr>
        <w:pStyle w:val="ae"/>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eastAsia="宋体" w:hAnsi="Times New Roman" w:cs="Times New Roman" w:hint="eastAsia"/>
          <w:sz w:val="20"/>
          <w:szCs w:val="20"/>
        </w:rPr>
        <w:t xml:space="preserve">remaining </w:t>
      </w:r>
      <w:r>
        <w:rPr>
          <w:rFonts w:ascii="Times New Roman" w:eastAsia="宋体" w:hAnsi="Times New Roman" w:cs="Times New Roman"/>
          <w:sz w:val="20"/>
          <w:szCs w:val="20"/>
        </w:rPr>
        <w:t>issues for NTN is conducted with following proposals and observations:</w:t>
      </w:r>
    </w:p>
    <w:p w:rsidR="008D1FE8" w:rsidRDefault="00897B8C">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hint="eastAsia"/>
          <w:b/>
          <w:i/>
          <w:sz w:val="20"/>
          <w:szCs w:val="20"/>
        </w:rPr>
        <w:t xml:space="preserve">Observation 1: </w:t>
      </w:r>
      <w:r>
        <w:rPr>
          <w:rFonts w:ascii="Times New Roman" w:eastAsia="宋体" w:hAnsi="Times New Roman" w:cs="Times New Roman" w:hint="eastAsia"/>
          <w:i/>
          <w:sz w:val="20"/>
          <w:szCs w:val="20"/>
        </w:rPr>
        <w:t>In RAN2 agreements, the validity timer specifies a validity duration from the epoch time.</w:t>
      </w:r>
      <w:r>
        <w:rPr>
          <w:rFonts w:ascii="Times New Roman" w:hAnsi="Times New Roman" w:cs="Times New Roman" w:hint="eastAsia"/>
          <w:i/>
          <w:sz w:val="20"/>
          <w:szCs w:val="20"/>
        </w:rPr>
        <w:t xml:space="preserve"> </w:t>
      </w:r>
    </w:p>
    <w:p w:rsidR="008D1FE8" w:rsidRDefault="00897B8C">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 </w:t>
      </w:r>
      <w:r>
        <w:rPr>
          <w:rFonts w:ascii="Times New Roman" w:hAnsi="Times New Roman" w:cs="Times New Roman" w:hint="eastAsia"/>
          <w:i/>
          <w:sz w:val="20"/>
          <w:szCs w:val="20"/>
        </w:rPr>
        <w:t>The epoch time t</w:t>
      </w:r>
      <w:r>
        <w:rPr>
          <w:rFonts w:ascii="Times New Roman" w:hAnsi="Times New Roman" w:cs="Times New Roman" w:hint="eastAsia"/>
          <w:i/>
          <w:sz w:val="20"/>
          <w:szCs w:val="20"/>
          <w:vertAlign w:val="subscript"/>
        </w:rPr>
        <w:t>epoch</w:t>
      </w:r>
      <w:r>
        <w:rPr>
          <w:rFonts w:ascii="Times New Roman" w:hAnsi="Times New Roman" w:cs="Times New Roman" w:hint="eastAsia"/>
          <w:i/>
          <w:sz w:val="20"/>
          <w:szCs w:val="20"/>
        </w:rPr>
        <w:t xml:space="preserve"> should be set as the start of validity time period. The UL synchronization is thought kept only in the time period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epoch</m:t>
            </m:r>
          </m:sub>
        </m:sSub>
        <m:r>
          <w:rPr>
            <w:rFonts w:ascii="Cambria Math" w:hAnsi="Cambria Math" w:cs="Times New Roman" w:hint="eastAsia"/>
            <w:sz w:val="20"/>
            <w:szCs w:val="20"/>
          </w:rPr>
          <m:t>≤</m:t>
        </m:r>
        <m:r>
          <w:rPr>
            <w:rFonts w:ascii="Cambria Math" w:hAnsi="Cambria Math" w:cs="Times New Roman"/>
            <w:sz w:val="20"/>
            <w:szCs w:val="20"/>
          </w:rPr>
          <m:t>t&lt;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epoch</m:t>
            </m:r>
          </m:sub>
        </m:sSub>
        <m:r>
          <w:rPr>
            <w:rFonts w:ascii="Cambria Math" w:hAnsi="Cambria Math" w:cs="Times New Roman"/>
            <w:sz w:val="20"/>
            <w:szCs w:val="20"/>
          </w:rPr>
          <m:t>+</m:t>
        </m:r>
        <m:r>
          <w:rPr>
            <w:rFonts w:ascii="Cambria Math" w:hAnsi="Cambria Math" w:cs="Times New Roman" w:hint="eastAsia"/>
            <w:sz w:val="20"/>
            <w:szCs w:val="20"/>
          </w:rPr>
          <m:t>∆</m:t>
        </m:r>
        <m:r>
          <w:rPr>
            <w:rFonts w:ascii="Cambria Math" w:hAnsi="Cambria Math" w:cs="Times New Roman"/>
            <w:sz w:val="20"/>
            <w:szCs w:val="20"/>
          </w:rPr>
          <m:t>t</m:t>
        </m:r>
      </m:oMath>
      <w:r>
        <w:rPr>
          <w:rFonts w:ascii="Times New Roman" w:hAnsi="Times New Roman" w:cs="Times New Roman" w:hint="eastAsia"/>
          <w:i/>
          <w:sz w:val="20"/>
          <w:szCs w:val="20"/>
        </w:rPr>
        <w:t xml:space="preserve">, where </w:t>
      </w:r>
      <m:oMath>
        <m:r>
          <w:rPr>
            <w:rFonts w:ascii="Cambria Math" w:hAnsi="Cambria Math" w:cs="Times New Roman" w:hint="eastAsia"/>
            <w:sz w:val="20"/>
            <w:szCs w:val="20"/>
          </w:rPr>
          <m:t>∆</m:t>
        </m:r>
        <m:r>
          <w:rPr>
            <w:rFonts w:ascii="Cambria Math" w:hAnsi="Cambria Math" w:cs="Times New Roman"/>
            <w:sz w:val="20"/>
            <w:szCs w:val="20"/>
          </w:rPr>
          <m:t>t</m:t>
        </m:r>
      </m:oMath>
      <w:r>
        <w:rPr>
          <w:rFonts w:ascii="Times New Roman" w:hAnsi="Times New Roman" w:cs="Times New Roman" w:hint="eastAsia"/>
          <w:i/>
          <w:sz w:val="20"/>
          <w:szCs w:val="20"/>
        </w:rPr>
        <w:t xml:space="preserve"> is the validity duration indicated by higher layer parameter </w:t>
      </w:r>
      <w:r>
        <w:rPr>
          <w:rFonts w:ascii="Times New Roman" w:hAnsi="Times New Roman" w:cs="Times New Roman"/>
          <w:i/>
          <w:sz w:val="20"/>
          <w:szCs w:val="20"/>
        </w:rPr>
        <w:t>ntn-UlSyncValidityDuration</w:t>
      </w:r>
      <w:r>
        <w:rPr>
          <w:rFonts w:ascii="Times New Roman" w:hAnsi="Times New Roman" w:cs="Times New Roman" w:hint="eastAsia"/>
          <w:i/>
          <w:sz w:val="20"/>
          <w:szCs w:val="20"/>
        </w:rPr>
        <w:t>.</w:t>
      </w:r>
    </w:p>
    <w:p w:rsidR="008D1FE8" w:rsidRDefault="00897B8C">
      <w:pPr>
        <w:numPr>
          <w:ilvl w:val="7"/>
          <w:numId w:val="0"/>
        </w:numPr>
        <w:spacing w:after="120"/>
        <w:ind w:leftChars="200" w:left="440"/>
        <w:rPr>
          <w:rFonts w:ascii="Times New Roman" w:hAnsi="Times New Roman"/>
          <w:i/>
          <w:iCs/>
          <w:sz w:val="20"/>
          <w:szCs w:val="20"/>
        </w:rPr>
      </w:pPr>
      <w:r>
        <w:rPr>
          <w:rFonts w:ascii="Times New Roman" w:hAnsi="Times New Roman" w:cs="Times New Roman" w:hint="eastAsia"/>
          <w:b/>
          <w:i/>
          <w:sz w:val="20"/>
          <w:szCs w:val="20"/>
        </w:rPr>
        <w:lastRenderedPageBreak/>
        <w:t xml:space="preserve">Proposal 2: </w:t>
      </w:r>
      <w:r>
        <w:rPr>
          <w:rFonts w:ascii="Times New Roman" w:hAnsi="Times New Roman" w:hint="eastAsia"/>
          <w:i/>
          <w:iCs/>
          <w:sz w:val="20"/>
          <w:szCs w:val="20"/>
        </w:rPr>
        <w:t>If indicated explicitly by a SFN and subframe number, the Epoch time t_epoch is the sub-frame which is nearest to the sub-frame where the message indicating the Epoch time is received.</w:t>
      </w:r>
    </w:p>
    <w:p w:rsidR="008D1FE8" w:rsidRDefault="00897B8C">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8D1FE8" w:rsidRDefault="00897B8C">
      <w:pPr>
        <w:pStyle w:val="ListParagraph1"/>
        <w:numPr>
          <w:ilvl w:val="0"/>
          <w:numId w:val="7"/>
        </w:numPr>
        <w:spacing w:after="0" w:line="240" w:lineRule="auto"/>
        <w:ind w:left="505" w:hanging="505"/>
        <w:rPr>
          <w:rFonts w:ascii="Times New Roman" w:hAnsi="Times New Roman"/>
          <w:sz w:val="20"/>
          <w:szCs w:val="20"/>
        </w:rPr>
      </w:pPr>
      <w:bookmarkStart w:id="6" w:name="_Ref32552"/>
      <w:r>
        <w:rPr>
          <w:rFonts w:ascii="Times New Roman" w:hAnsi="Times New Roman" w:hint="eastAsia"/>
          <w:sz w:val="20"/>
          <w:szCs w:val="20"/>
        </w:rPr>
        <w:t>R1-2205489 FL Summary #3: Maintenance on timing relationship enhancements and UL time and frequency synchronization for NR NTN,</w:t>
      </w:r>
      <w:r>
        <w:rPr>
          <w:rFonts w:ascii="Times New Roman" w:hAnsi="Times New Roman"/>
          <w:sz w:val="20"/>
          <w:szCs w:val="20"/>
        </w:rPr>
        <w:t xml:space="preserve">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109e</w:t>
      </w:r>
      <w:bookmarkEnd w:id="6"/>
    </w:p>
    <w:p w:rsidR="008D1FE8" w:rsidRDefault="00897B8C">
      <w:pPr>
        <w:pStyle w:val="ListParagraph1"/>
        <w:numPr>
          <w:ilvl w:val="0"/>
          <w:numId w:val="7"/>
        </w:numPr>
        <w:spacing w:after="0" w:line="240" w:lineRule="auto"/>
        <w:ind w:left="505" w:hanging="505"/>
        <w:rPr>
          <w:rFonts w:ascii="Times New Roman" w:hAnsi="Times New Roman"/>
          <w:sz w:val="20"/>
          <w:szCs w:val="20"/>
        </w:rPr>
      </w:pPr>
      <w:bookmarkStart w:id="7" w:name="_Ref9134"/>
      <w:r>
        <w:rPr>
          <w:rFonts w:ascii="Times New Roman" w:hAnsi="Times New Roman" w:hint="eastAsia"/>
          <w:sz w:val="20"/>
          <w:szCs w:val="20"/>
        </w:rPr>
        <w:t>TS 38.331 Radio Resource Control (RRC) protocol specification, V17.1.0</w:t>
      </w:r>
      <w:bookmarkEnd w:id="7"/>
    </w:p>
    <w:p w:rsidR="008D1FE8" w:rsidRDefault="008D1FE8">
      <w:pPr>
        <w:pStyle w:val="ListParagraph1"/>
        <w:numPr>
          <w:ilvl w:val="255"/>
          <w:numId w:val="0"/>
        </w:numPr>
        <w:spacing w:after="0" w:line="20" w:lineRule="exact"/>
        <w:ind w:left="720"/>
        <w:rPr>
          <w:rFonts w:ascii="Times New Roman" w:hAnsi="Times New Roman"/>
          <w:sz w:val="20"/>
          <w:szCs w:val="20"/>
        </w:rPr>
      </w:pPr>
    </w:p>
    <w:sectPr w:rsidR="008D1F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3F1" w:rsidRDefault="006663F1">
      <w:pPr>
        <w:spacing w:line="240" w:lineRule="auto"/>
      </w:pPr>
      <w:r>
        <w:separator/>
      </w:r>
    </w:p>
  </w:endnote>
  <w:endnote w:type="continuationSeparator" w:id="0">
    <w:p w:rsidR="006663F1" w:rsidRDefault="006663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3F1" w:rsidRDefault="006663F1">
      <w:pPr>
        <w:spacing w:after="0"/>
      </w:pPr>
      <w:r>
        <w:separator/>
      </w:r>
    </w:p>
  </w:footnote>
  <w:footnote w:type="continuationSeparator" w:id="0">
    <w:p w:rsidR="006663F1" w:rsidRDefault="006663F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8AEBDE"/>
    <w:multiLevelType w:val="singleLevel"/>
    <w:tmpl w:val="838AEBDE"/>
    <w:lvl w:ilvl="0">
      <w:start w:val="1"/>
      <w:numFmt w:val="lowerLetter"/>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5090DD9"/>
    <w:multiLevelType w:val="multilevel"/>
    <w:tmpl w:val="25090DD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FD048C5"/>
    <w:multiLevelType w:val="hybridMultilevel"/>
    <w:tmpl w:val="F36AB530"/>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
  </w:num>
  <w:num w:numId="2">
    <w:abstractNumId w:val="6"/>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46F5"/>
    <w:rsid w:val="00004E88"/>
    <w:rsid w:val="00005B14"/>
    <w:rsid w:val="0000773C"/>
    <w:rsid w:val="00010179"/>
    <w:rsid w:val="00015039"/>
    <w:rsid w:val="00015132"/>
    <w:rsid w:val="000163CA"/>
    <w:rsid w:val="000207B3"/>
    <w:rsid w:val="00021434"/>
    <w:rsid w:val="00021AAE"/>
    <w:rsid w:val="00022E51"/>
    <w:rsid w:val="00022EDE"/>
    <w:rsid w:val="0002404A"/>
    <w:rsid w:val="00024905"/>
    <w:rsid w:val="000255C7"/>
    <w:rsid w:val="00026E46"/>
    <w:rsid w:val="000305EC"/>
    <w:rsid w:val="00031996"/>
    <w:rsid w:val="00031F57"/>
    <w:rsid w:val="0003439E"/>
    <w:rsid w:val="00036AF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3F8"/>
    <w:rsid w:val="0005679C"/>
    <w:rsid w:val="0005706E"/>
    <w:rsid w:val="000600A4"/>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5425"/>
    <w:rsid w:val="0008799A"/>
    <w:rsid w:val="0009076A"/>
    <w:rsid w:val="00091DB0"/>
    <w:rsid w:val="000929D3"/>
    <w:rsid w:val="0009612B"/>
    <w:rsid w:val="00096412"/>
    <w:rsid w:val="00096975"/>
    <w:rsid w:val="00097080"/>
    <w:rsid w:val="00097C29"/>
    <w:rsid w:val="000A0C3E"/>
    <w:rsid w:val="000A0C91"/>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40B1"/>
    <w:rsid w:val="0011457F"/>
    <w:rsid w:val="001164E7"/>
    <w:rsid w:val="001175A0"/>
    <w:rsid w:val="0011771D"/>
    <w:rsid w:val="00117825"/>
    <w:rsid w:val="00120E8A"/>
    <w:rsid w:val="0012343B"/>
    <w:rsid w:val="00123A6A"/>
    <w:rsid w:val="001277FA"/>
    <w:rsid w:val="00127950"/>
    <w:rsid w:val="00130DB6"/>
    <w:rsid w:val="0013220A"/>
    <w:rsid w:val="001334A7"/>
    <w:rsid w:val="00136467"/>
    <w:rsid w:val="001366F7"/>
    <w:rsid w:val="00136871"/>
    <w:rsid w:val="001369F6"/>
    <w:rsid w:val="001401D1"/>
    <w:rsid w:val="00140AE4"/>
    <w:rsid w:val="0014136C"/>
    <w:rsid w:val="0014315C"/>
    <w:rsid w:val="001447C9"/>
    <w:rsid w:val="001455B4"/>
    <w:rsid w:val="00145B2C"/>
    <w:rsid w:val="00145BE8"/>
    <w:rsid w:val="001478C9"/>
    <w:rsid w:val="00150658"/>
    <w:rsid w:val="00152B82"/>
    <w:rsid w:val="00152E17"/>
    <w:rsid w:val="00153DFD"/>
    <w:rsid w:val="00157411"/>
    <w:rsid w:val="001637D9"/>
    <w:rsid w:val="00163958"/>
    <w:rsid w:val="00163C43"/>
    <w:rsid w:val="00163E3A"/>
    <w:rsid w:val="001645E4"/>
    <w:rsid w:val="00164C6C"/>
    <w:rsid w:val="00165036"/>
    <w:rsid w:val="00166848"/>
    <w:rsid w:val="00166EF0"/>
    <w:rsid w:val="0016725B"/>
    <w:rsid w:val="00167C34"/>
    <w:rsid w:val="00170CD6"/>
    <w:rsid w:val="0017178D"/>
    <w:rsid w:val="00172A27"/>
    <w:rsid w:val="00173343"/>
    <w:rsid w:val="00173624"/>
    <w:rsid w:val="00174EE5"/>
    <w:rsid w:val="00176371"/>
    <w:rsid w:val="00176496"/>
    <w:rsid w:val="001767AB"/>
    <w:rsid w:val="00176CE4"/>
    <w:rsid w:val="00177052"/>
    <w:rsid w:val="0018253F"/>
    <w:rsid w:val="00183086"/>
    <w:rsid w:val="0018415A"/>
    <w:rsid w:val="00184A1E"/>
    <w:rsid w:val="00185634"/>
    <w:rsid w:val="00185B2D"/>
    <w:rsid w:val="0019167B"/>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4A58"/>
    <w:rsid w:val="001B61CA"/>
    <w:rsid w:val="001B7CEC"/>
    <w:rsid w:val="001C3113"/>
    <w:rsid w:val="001C34AE"/>
    <w:rsid w:val="001C4B12"/>
    <w:rsid w:val="001C53EA"/>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127D"/>
    <w:rsid w:val="00202971"/>
    <w:rsid w:val="00205322"/>
    <w:rsid w:val="00206259"/>
    <w:rsid w:val="00211192"/>
    <w:rsid w:val="002150C0"/>
    <w:rsid w:val="00215B4B"/>
    <w:rsid w:val="00215C0C"/>
    <w:rsid w:val="00217CD0"/>
    <w:rsid w:val="00220720"/>
    <w:rsid w:val="00220F13"/>
    <w:rsid w:val="00222B41"/>
    <w:rsid w:val="002239D1"/>
    <w:rsid w:val="002239E2"/>
    <w:rsid w:val="002260BF"/>
    <w:rsid w:val="002277AA"/>
    <w:rsid w:val="00227B9F"/>
    <w:rsid w:val="002300DA"/>
    <w:rsid w:val="00230E2F"/>
    <w:rsid w:val="002337F7"/>
    <w:rsid w:val="00234FE9"/>
    <w:rsid w:val="00237C5F"/>
    <w:rsid w:val="0024089A"/>
    <w:rsid w:val="00241E81"/>
    <w:rsid w:val="00242177"/>
    <w:rsid w:val="0024697D"/>
    <w:rsid w:val="0024761D"/>
    <w:rsid w:val="002509D8"/>
    <w:rsid w:val="00252A27"/>
    <w:rsid w:val="00253B31"/>
    <w:rsid w:val="00255D8E"/>
    <w:rsid w:val="00255E7F"/>
    <w:rsid w:val="00261495"/>
    <w:rsid w:val="002617C9"/>
    <w:rsid w:val="002628A3"/>
    <w:rsid w:val="00263CF8"/>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575D"/>
    <w:rsid w:val="00295CB2"/>
    <w:rsid w:val="002A03BF"/>
    <w:rsid w:val="002A10AC"/>
    <w:rsid w:val="002A1B43"/>
    <w:rsid w:val="002A3174"/>
    <w:rsid w:val="002A40A7"/>
    <w:rsid w:val="002A431F"/>
    <w:rsid w:val="002A5D5E"/>
    <w:rsid w:val="002A5DBB"/>
    <w:rsid w:val="002A7E58"/>
    <w:rsid w:val="002B15AC"/>
    <w:rsid w:val="002B1AEC"/>
    <w:rsid w:val="002B3F53"/>
    <w:rsid w:val="002B4341"/>
    <w:rsid w:val="002B4354"/>
    <w:rsid w:val="002B5408"/>
    <w:rsid w:val="002B6229"/>
    <w:rsid w:val="002C36C2"/>
    <w:rsid w:val="002C37D5"/>
    <w:rsid w:val="002C3C85"/>
    <w:rsid w:val="002C4016"/>
    <w:rsid w:val="002C5BB8"/>
    <w:rsid w:val="002C5C2D"/>
    <w:rsid w:val="002C636A"/>
    <w:rsid w:val="002C7437"/>
    <w:rsid w:val="002D109F"/>
    <w:rsid w:val="002D1FE0"/>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9F2"/>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53AC"/>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54CA"/>
    <w:rsid w:val="003D645F"/>
    <w:rsid w:val="003D6876"/>
    <w:rsid w:val="003E10DC"/>
    <w:rsid w:val="003E21E9"/>
    <w:rsid w:val="003E239D"/>
    <w:rsid w:val="003E4FCA"/>
    <w:rsid w:val="003E4FD3"/>
    <w:rsid w:val="003F097C"/>
    <w:rsid w:val="003F16AA"/>
    <w:rsid w:val="003F2293"/>
    <w:rsid w:val="003F342B"/>
    <w:rsid w:val="003F4AB7"/>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55BF"/>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5C0E"/>
    <w:rsid w:val="004A6BE0"/>
    <w:rsid w:val="004A7965"/>
    <w:rsid w:val="004B05AC"/>
    <w:rsid w:val="004B27B7"/>
    <w:rsid w:val="004B37B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7230"/>
    <w:rsid w:val="00500B0A"/>
    <w:rsid w:val="0050203F"/>
    <w:rsid w:val="00503202"/>
    <w:rsid w:val="00504167"/>
    <w:rsid w:val="00504641"/>
    <w:rsid w:val="0050481A"/>
    <w:rsid w:val="0051054E"/>
    <w:rsid w:val="00514A5F"/>
    <w:rsid w:val="0051511D"/>
    <w:rsid w:val="0051721B"/>
    <w:rsid w:val="00517CC8"/>
    <w:rsid w:val="00520474"/>
    <w:rsid w:val="0052302B"/>
    <w:rsid w:val="005245D8"/>
    <w:rsid w:val="0052543C"/>
    <w:rsid w:val="00525D0D"/>
    <w:rsid w:val="00527981"/>
    <w:rsid w:val="00531476"/>
    <w:rsid w:val="00531C32"/>
    <w:rsid w:val="00532BE2"/>
    <w:rsid w:val="00533E6F"/>
    <w:rsid w:val="00536865"/>
    <w:rsid w:val="00541AC2"/>
    <w:rsid w:val="00542F50"/>
    <w:rsid w:val="005434EA"/>
    <w:rsid w:val="0054377D"/>
    <w:rsid w:val="005439BB"/>
    <w:rsid w:val="00544E58"/>
    <w:rsid w:val="00546AA2"/>
    <w:rsid w:val="00547EED"/>
    <w:rsid w:val="00547F25"/>
    <w:rsid w:val="00550032"/>
    <w:rsid w:val="00555010"/>
    <w:rsid w:val="0055515C"/>
    <w:rsid w:val="00555635"/>
    <w:rsid w:val="0055771C"/>
    <w:rsid w:val="00557DF7"/>
    <w:rsid w:val="00560112"/>
    <w:rsid w:val="0056072D"/>
    <w:rsid w:val="00561353"/>
    <w:rsid w:val="0056261E"/>
    <w:rsid w:val="005631E5"/>
    <w:rsid w:val="005707D7"/>
    <w:rsid w:val="00572450"/>
    <w:rsid w:val="00572794"/>
    <w:rsid w:val="005776B3"/>
    <w:rsid w:val="00577B25"/>
    <w:rsid w:val="00577FA3"/>
    <w:rsid w:val="005800AE"/>
    <w:rsid w:val="005818F2"/>
    <w:rsid w:val="00583585"/>
    <w:rsid w:val="00584402"/>
    <w:rsid w:val="0058467B"/>
    <w:rsid w:val="00584754"/>
    <w:rsid w:val="005847B4"/>
    <w:rsid w:val="00587B31"/>
    <w:rsid w:val="00591874"/>
    <w:rsid w:val="00591995"/>
    <w:rsid w:val="00591A9A"/>
    <w:rsid w:val="00591AFC"/>
    <w:rsid w:val="00593A13"/>
    <w:rsid w:val="005942C9"/>
    <w:rsid w:val="00594C6B"/>
    <w:rsid w:val="00595D60"/>
    <w:rsid w:val="00595FF1"/>
    <w:rsid w:val="00596155"/>
    <w:rsid w:val="0059699B"/>
    <w:rsid w:val="00596B55"/>
    <w:rsid w:val="005A44CD"/>
    <w:rsid w:val="005A4AEC"/>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63F1"/>
    <w:rsid w:val="006679C0"/>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710D"/>
    <w:rsid w:val="00687A28"/>
    <w:rsid w:val="0069129F"/>
    <w:rsid w:val="006942DE"/>
    <w:rsid w:val="00695773"/>
    <w:rsid w:val="006959F4"/>
    <w:rsid w:val="00695F4B"/>
    <w:rsid w:val="00696055"/>
    <w:rsid w:val="00696C4B"/>
    <w:rsid w:val="006A2144"/>
    <w:rsid w:val="006A5005"/>
    <w:rsid w:val="006A770B"/>
    <w:rsid w:val="006A78AB"/>
    <w:rsid w:val="006B11B9"/>
    <w:rsid w:val="006B2BFD"/>
    <w:rsid w:val="006B2F59"/>
    <w:rsid w:val="006B3E7B"/>
    <w:rsid w:val="006B44DE"/>
    <w:rsid w:val="006B68A9"/>
    <w:rsid w:val="006B68BB"/>
    <w:rsid w:val="006C2AFB"/>
    <w:rsid w:val="006C5BED"/>
    <w:rsid w:val="006C6196"/>
    <w:rsid w:val="006C63FA"/>
    <w:rsid w:val="006C79CC"/>
    <w:rsid w:val="006C7C94"/>
    <w:rsid w:val="006D02E7"/>
    <w:rsid w:val="006D2633"/>
    <w:rsid w:val="006D267E"/>
    <w:rsid w:val="006D2F82"/>
    <w:rsid w:val="006D419D"/>
    <w:rsid w:val="006D471A"/>
    <w:rsid w:val="006D5130"/>
    <w:rsid w:val="006D51BF"/>
    <w:rsid w:val="006E381A"/>
    <w:rsid w:val="006E409B"/>
    <w:rsid w:val="006E492C"/>
    <w:rsid w:val="006E56D5"/>
    <w:rsid w:val="006E5A5A"/>
    <w:rsid w:val="006F05F7"/>
    <w:rsid w:val="006F2A5C"/>
    <w:rsid w:val="006F31E9"/>
    <w:rsid w:val="006F4431"/>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141"/>
    <w:rsid w:val="0072584B"/>
    <w:rsid w:val="00727B0F"/>
    <w:rsid w:val="00727CFC"/>
    <w:rsid w:val="00730673"/>
    <w:rsid w:val="00730741"/>
    <w:rsid w:val="00731300"/>
    <w:rsid w:val="00734A39"/>
    <w:rsid w:val="00737944"/>
    <w:rsid w:val="007403F3"/>
    <w:rsid w:val="00742CED"/>
    <w:rsid w:val="00744CC0"/>
    <w:rsid w:val="00744DC7"/>
    <w:rsid w:val="0074513B"/>
    <w:rsid w:val="007453DB"/>
    <w:rsid w:val="00745D0B"/>
    <w:rsid w:val="00745EBE"/>
    <w:rsid w:val="00746683"/>
    <w:rsid w:val="0074781F"/>
    <w:rsid w:val="00747A13"/>
    <w:rsid w:val="00752F91"/>
    <w:rsid w:val="00753EB1"/>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7FE7"/>
    <w:rsid w:val="007824B2"/>
    <w:rsid w:val="0078257B"/>
    <w:rsid w:val="00782A64"/>
    <w:rsid w:val="0078436A"/>
    <w:rsid w:val="0078446D"/>
    <w:rsid w:val="0078687B"/>
    <w:rsid w:val="00786908"/>
    <w:rsid w:val="0078717C"/>
    <w:rsid w:val="0078758C"/>
    <w:rsid w:val="007907A9"/>
    <w:rsid w:val="007918C5"/>
    <w:rsid w:val="00792482"/>
    <w:rsid w:val="007934C2"/>
    <w:rsid w:val="00794C8F"/>
    <w:rsid w:val="00795081"/>
    <w:rsid w:val="00796100"/>
    <w:rsid w:val="00796AB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3E45"/>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573"/>
    <w:rsid w:val="0082282A"/>
    <w:rsid w:val="0082555C"/>
    <w:rsid w:val="00825ED8"/>
    <w:rsid w:val="008334EA"/>
    <w:rsid w:val="00841902"/>
    <w:rsid w:val="008423C1"/>
    <w:rsid w:val="00845237"/>
    <w:rsid w:val="0084566C"/>
    <w:rsid w:val="008463DA"/>
    <w:rsid w:val="00846BA7"/>
    <w:rsid w:val="0084703B"/>
    <w:rsid w:val="0084712E"/>
    <w:rsid w:val="0085082A"/>
    <w:rsid w:val="00853AB1"/>
    <w:rsid w:val="00853BE7"/>
    <w:rsid w:val="0085425D"/>
    <w:rsid w:val="00854B30"/>
    <w:rsid w:val="008551DD"/>
    <w:rsid w:val="00860235"/>
    <w:rsid w:val="00860DB0"/>
    <w:rsid w:val="008612D6"/>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9F1"/>
    <w:rsid w:val="00892E93"/>
    <w:rsid w:val="00893F1F"/>
    <w:rsid w:val="008945C3"/>
    <w:rsid w:val="00895C67"/>
    <w:rsid w:val="00895F0E"/>
    <w:rsid w:val="0089673D"/>
    <w:rsid w:val="00896877"/>
    <w:rsid w:val="00896AF8"/>
    <w:rsid w:val="00897B8C"/>
    <w:rsid w:val="00897EB1"/>
    <w:rsid w:val="008A03E3"/>
    <w:rsid w:val="008A2C68"/>
    <w:rsid w:val="008A60B6"/>
    <w:rsid w:val="008B0592"/>
    <w:rsid w:val="008B141F"/>
    <w:rsid w:val="008B18D9"/>
    <w:rsid w:val="008B2440"/>
    <w:rsid w:val="008B273D"/>
    <w:rsid w:val="008B2F8C"/>
    <w:rsid w:val="008B3AB6"/>
    <w:rsid w:val="008B4D33"/>
    <w:rsid w:val="008B5145"/>
    <w:rsid w:val="008B550C"/>
    <w:rsid w:val="008B7BC8"/>
    <w:rsid w:val="008C12B2"/>
    <w:rsid w:val="008C36DF"/>
    <w:rsid w:val="008C3882"/>
    <w:rsid w:val="008C67BD"/>
    <w:rsid w:val="008C694F"/>
    <w:rsid w:val="008C7B46"/>
    <w:rsid w:val="008D1239"/>
    <w:rsid w:val="008D1FE8"/>
    <w:rsid w:val="008D54D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680C"/>
    <w:rsid w:val="00906E21"/>
    <w:rsid w:val="00907734"/>
    <w:rsid w:val="009077A1"/>
    <w:rsid w:val="00910209"/>
    <w:rsid w:val="00917598"/>
    <w:rsid w:val="009175DC"/>
    <w:rsid w:val="00917DC8"/>
    <w:rsid w:val="0092166C"/>
    <w:rsid w:val="00921B3A"/>
    <w:rsid w:val="009222AF"/>
    <w:rsid w:val="0092314A"/>
    <w:rsid w:val="00923489"/>
    <w:rsid w:val="009258EB"/>
    <w:rsid w:val="009264C7"/>
    <w:rsid w:val="00926F55"/>
    <w:rsid w:val="00927355"/>
    <w:rsid w:val="00927AD8"/>
    <w:rsid w:val="00927F24"/>
    <w:rsid w:val="00930C7F"/>
    <w:rsid w:val="00931B4D"/>
    <w:rsid w:val="00933578"/>
    <w:rsid w:val="00934843"/>
    <w:rsid w:val="00934E6E"/>
    <w:rsid w:val="00935F25"/>
    <w:rsid w:val="00937775"/>
    <w:rsid w:val="0094282A"/>
    <w:rsid w:val="00942CBD"/>
    <w:rsid w:val="00943D86"/>
    <w:rsid w:val="0094500B"/>
    <w:rsid w:val="00951A21"/>
    <w:rsid w:val="00954629"/>
    <w:rsid w:val="009546E6"/>
    <w:rsid w:val="00954CFA"/>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2BC1"/>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DD"/>
    <w:rsid w:val="00A25A90"/>
    <w:rsid w:val="00A25CDE"/>
    <w:rsid w:val="00A3094F"/>
    <w:rsid w:val="00A32A62"/>
    <w:rsid w:val="00A32D0C"/>
    <w:rsid w:val="00A350E9"/>
    <w:rsid w:val="00A35991"/>
    <w:rsid w:val="00A3612D"/>
    <w:rsid w:val="00A37577"/>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7884"/>
    <w:rsid w:val="00A70F38"/>
    <w:rsid w:val="00A7397C"/>
    <w:rsid w:val="00A74A33"/>
    <w:rsid w:val="00A75949"/>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6866"/>
    <w:rsid w:val="00AA70BC"/>
    <w:rsid w:val="00AB0762"/>
    <w:rsid w:val="00AB0DB7"/>
    <w:rsid w:val="00AB0EA8"/>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0954"/>
    <w:rsid w:val="00AD13D8"/>
    <w:rsid w:val="00AD16C8"/>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0CAF"/>
    <w:rsid w:val="00B0190A"/>
    <w:rsid w:val="00B037C4"/>
    <w:rsid w:val="00B045E1"/>
    <w:rsid w:val="00B04F51"/>
    <w:rsid w:val="00B07AC8"/>
    <w:rsid w:val="00B10606"/>
    <w:rsid w:val="00B11050"/>
    <w:rsid w:val="00B11BF6"/>
    <w:rsid w:val="00B12694"/>
    <w:rsid w:val="00B1405C"/>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67C9"/>
    <w:rsid w:val="00B408D6"/>
    <w:rsid w:val="00B427F7"/>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60E61"/>
    <w:rsid w:val="00B619A3"/>
    <w:rsid w:val="00B621C9"/>
    <w:rsid w:val="00B6421D"/>
    <w:rsid w:val="00B648B0"/>
    <w:rsid w:val="00B64B70"/>
    <w:rsid w:val="00B64EF1"/>
    <w:rsid w:val="00B65217"/>
    <w:rsid w:val="00B65229"/>
    <w:rsid w:val="00B66140"/>
    <w:rsid w:val="00B67956"/>
    <w:rsid w:val="00B735BE"/>
    <w:rsid w:val="00B7364A"/>
    <w:rsid w:val="00B75E7C"/>
    <w:rsid w:val="00B80207"/>
    <w:rsid w:val="00B81D95"/>
    <w:rsid w:val="00B83757"/>
    <w:rsid w:val="00B83DE8"/>
    <w:rsid w:val="00B83E19"/>
    <w:rsid w:val="00B85411"/>
    <w:rsid w:val="00B85F88"/>
    <w:rsid w:val="00B86B2D"/>
    <w:rsid w:val="00B87415"/>
    <w:rsid w:val="00B87662"/>
    <w:rsid w:val="00B901D2"/>
    <w:rsid w:val="00B92099"/>
    <w:rsid w:val="00B92741"/>
    <w:rsid w:val="00B929BC"/>
    <w:rsid w:val="00B92A67"/>
    <w:rsid w:val="00B94B68"/>
    <w:rsid w:val="00B95691"/>
    <w:rsid w:val="00B95E2F"/>
    <w:rsid w:val="00B978BD"/>
    <w:rsid w:val="00B979BA"/>
    <w:rsid w:val="00BA00FF"/>
    <w:rsid w:val="00BA0E38"/>
    <w:rsid w:val="00BA43EB"/>
    <w:rsid w:val="00BA5F85"/>
    <w:rsid w:val="00BA6C50"/>
    <w:rsid w:val="00BA75F8"/>
    <w:rsid w:val="00BA767D"/>
    <w:rsid w:val="00BB0826"/>
    <w:rsid w:val="00BB607D"/>
    <w:rsid w:val="00BB76F9"/>
    <w:rsid w:val="00BC06D9"/>
    <w:rsid w:val="00BC48C0"/>
    <w:rsid w:val="00BC50E0"/>
    <w:rsid w:val="00BC5A14"/>
    <w:rsid w:val="00BC6481"/>
    <w:rsid w:val="00BC6B5A"/>
    <w:rsid w:val="00BC7106"/>
    <w:rsid w:val="00BC781B"/>
    <w:rsid w:val="00BC7D68"/>
    <w:rsid w:val="00BD2FBB"/>
    <w:rsid w:val="00BD323C"/>
    <w:rsid w:val="00BD4C26"/>
    <w:rsid w:val="00BD5771"/>
    <w:rsid w:val="00BD7A06"/>
    <w:rsid w:val="00BD7C9D"/>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BA4"/>
    <w:rsid w:val="00BF4689"/>
    <w:rsid w:val="00BF5647"/>
    <w:rsid w:val="00BF728A"/>
    <w:rsid w:val="00C0059E"/>
    <w:rsid w:val="00C00F13"/>
    <w:rsid w:val="00C018F6"/>
    <w:rsid w:val="00C025AB"/>
    <w:rsid w:val="00C04235"/>
    <w:rsid w:val="00C042B3"/>
    <w:rsid w:val="00C047DD"/>
    <w:rsid w:val="00C05952"/>
    <w:rsid w:val="00C05D4C"/>
    <w:rsid w:val="00C075FA"/>
    <w:rsid w:val="00C07772"/>
    <w:rsid w:val="00C11DEF"/>
    <w:rsid w:val="00C13C21"/>
    <w:rsid w:val="00C152CA"/>
    <w:rsid w:val="00C15FE1"/>
    <w:rsid w:val="00C20B8F"/>
    <w:rsid w:val="00C20B9A"/>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603A"/>
    <w:rsid w:val="00C5795F"/>
    <w:rsid w:val="00C60B18"/>
    <w:rsid w:val="00C60D20"/>
    <w:rsid w:val="00C619DC"/>
    <w:rsid w:val="00C64576"/>
    <w:rsid w:val="00C64FB1"/>
    <w:rsid w:val="00C67650"/>
    <w:rsid w:val="00C70219"/>
    <w:rsid w:val="00C7084C"/>
    <w:rsid w:val="00C70A2B"/>
    <w:rsid w:val="00C7231A"/>
    <w:rsid w:val="00C734E4"/>
    <w:rsid w:val="00C74B5A"/>
    <w:rsid w:val="00C80319"/>
    <w:rsid w:val="00C814CA"/>
    <w:rsid w:val="00C81A12"/>
    <w:rsid w:val="00C81B3A"/>
    <w:rsid w:val="00C81C69"/>
    <w:rsid w:val="00C83DD4"/>
    <w:rsid w:val="00C85BFF"/>
    <w:rsid w:val="00C873A4"/>
    <w:rsid w:val="00C90EA9"/>
    <w:rsid w:val="00CA0D4F"/>
    <w:rsid w:val="00CA1224"/>
    <w:rsid w:val="00CA1397"/>
    <w:rsid w:val="00CA519E"/>
    <w:rsid w:val="00CA7DE4"/>
    <w:rsid w:val="00CB165F"/>
    <w:rsid w:val="00CB18A2"/>
    <w:rsid w:val="00CB2FE4"/>
    <w:rsid w:val="00CB3621"/>
    <w:rsid w:val="00CB4A68"/>
    <w:rsid w:val="00CC1380"/>
    <w:rsid w:val="00CC35F8"/>
    <w:rsid w:val="00CC47FF"/>
    <w:rsid w:val="00CC4B2C"/>
    <w:rsid w:val="00CC7D91"/>
    <w:rsid w:val="00CD08DD"/>
    <w:rsid w:val="00CD1A96"/>
    <w:rsid w:val="00CD2824"/>
    <w:rsid w:val="00CD2BB2"/>
    <w:rsid w:val="00CD6203"/>
    <w:rsid w:val="00CD7641"/>
    <w:rsid w:val="00CE05DB"/>
    <w:rsid w:val="00CE0777"/>
    <w:rsid w:val="00CE1474"/>
    <w:rsid w:val="00CE2393"/>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9D2"/>
    <w:rsid w:val="00CF74B8"/>
    <w:rsid w:val="00D01374"/>
    <w:rsid w:val="00D02E0E"/>
    <w:rsid w:val="00D03028"/>
    <w:rsid w:val="00D030AA"/>
    <w:rsid w:val="00D05292"/>
    <w:rsid w:val="00D05363"/>
    <w:rsid w:val="00D05C99"/>
    <w:rsid w:val="00D07E6C"/>
    <w:rsid w:val="00D125AC"/>
    <w:rsid w:val="00D12F91"/>
    <w:rsid w:val="00D13E2D"/>
    <w:rsid w:val="00D14AAA"/>
    <w:rsid w:val="00D155DC"/>
    <w:rsid w:val="00D15C7E"/>
    <w:rsid w:val="00D17DBC"/>
    <w:rsid w:val="00D20D5C"/>
    <w:rsid w:val="00D21EDC"/>
    <w:rsid w:val="00D23502"/>
    <w:rsid w:val="00D237D5"/>
    <w:rsid w:val="00D242BD"/>
    <w:rsid w:val="00D2545E"/>
    <w:rsid w:val="00D256F9"/>
    <w:rsid w:val="00D263F3"/>
    <w:rsid w:val="00D2714E"/>
    <w:rsid w:val="00D3123C"/>
    <w:rsid w:val="00D336EC"/>
    <w:rsid w:val="00D3373B"/>
    <w:rsid w:val="00D34071"/>
    <w:rsid w:val="00D34AAF"/>
    <w:rsid w:val="00D36E59"/>
    <w:rsid w:val="00D3747D"/>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7D8"/>
    <w:rsid w:val="00D56A56"/>
    <w:rsid w:val="00D601BE"/>
    <w:rsid w:val="00D624FA"/>
    <w:rsid w:val="00D643A6"/>
    <w:rsid w:val="00D648DD"/>
    <w:rsid w:val="00D6587D"/>
    <w:rsid w:val="00D66F15"/>
    <w:rsid w:val="00D71C76"/>
    <w:rsid w:val="00D7210F"/>
    <w:rsid w:val="00D72DDC"/>
    <w:rsid w:val="00D73733"/>
    <w:rsid w:val="00D747D3"/>
    <w:rsid w:val="00D761A3"/>
    <w:rsid w:val="00D76873"/>
    <w:rsid w:val="00D8078E"/>
    <w:rsid w:val="00D8377A"/>
    <w:rsid w:val="00D83D65"/>
    <w:rsid w:val="00D84ED5"/>
    <w:rsid w:val="00D85B18"/>
    <w:rsid w:val="00D85ED0"/>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A6B17"/>
    <w:rsid w:val="00DB15E7"/>
    <w:rsid w:val="00DB1B75"/>
    <w:rsid w:val="00DB3214"/>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40C89"/>
    <w:rsid w:val="00E44314"/>
    <w:rsid w:val="00E46F0A"/>
    <w:rsid w:val="00E5094F"/>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51E7"/>
    <w:rsid w:val="00EB5A34"/>
    <w:rsid w:val="00EB6771"/>
    <w:rsid w:val="00EB6CE4"/>
    <w:rsid w:val="00EB7113"/>
    <w:rsid w:val="00EB7564"/>
    <w:rsid w:val="00EC06BA"/>
    <w:rsid w:val="00EC1D05"/>
    <w:rsid w:val="00EC30D6"/>
    <w:rsid w:val="00EC4F74"/>
    <w:rsid w:val="00EC599B"/>
    <w:rsid w:val="00EC5C40"/>
    <w:rsid w:val="00EC69A8"/>
    <w:rsid w:val="00EC70F0"/>
    <w:rsid w:val="00ED0581"/>
    <w:rsid w:val="00ED0C20"/>
    <w:rsid w:val="00ED2ACE"/>
    <w:rsid w:val="00ED3590"/>
    <w:rsid w:val="00ED4BDC"/>
    <w:rsid w:val="00ED4F72"/>
    <w:rsid w:val="00ED76E9"/>
    <w:rsid w:val="00ED7B0C"/>
    <w:rsid w:val="00EE0830"/>
    <w:rsid w:val="00EE121C"/>
    <w:rsid w:val="00EE30ED"/>
    <w:rsid w:val="00EE3525"/>
    <w:rsid w:val="00EE45E3"/>
    <w:rsid w:val="00EE552F"/>
    <w:rsid w:val="00EE6D10"/>
    <w:rsid w:val="00EE6E7F"/>
    <w:rsid w:val="00EF2FF8"/>
    <w:rsid w:val="00EF3AE0"/>
    <w:rsid w:val="00EF3BB3"/>
    <w:rsid w:val="00EF4797"/>
    <w:rsid w:val="00EF4DCD"/>
    <w:rsid w:val="00EF62BF"/>
    <w:rsid w:val="00EF7A2E"/>
    <w:rsid w:val="00F01310"/>
    <w:rsid w:val="00F01BA7"/>
    <w:rsid w:val="00F054DE"/>
    <w:rsid w:val="00F07115"/>
    <w:rsid w:val="00F0753E"/>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8B6"/>
    <w:rsid w:val="00F34104"/>
    <w:rsid w:val="00F34395"/>
    <w:rsid w:val="00F34CAD"/>
    <w:rsid w:val="00F34F62"/>
    <w:rsid w:val="00F35D60"/>
    <w:rsid w:val="00F361D9"/>
    <w:rsid w:val="00F40E01"/>
    <w:rsid w:val="00F40F3A"/>
    <w:rsid w:val="00F4268F"/>
    <w:rsid w:val="00F44C9E"/>
    <w:rsid w:val="00F454F3"/>
    <w:rsid w:val="00F502BF"/>
    <w:rsid w:val="00F50AA4"/>
    <w:rsid w:val="00F51060"/>
    <w:rsid w:val="00F51372"/>
    <w:rsid w:val="00F516E8"/>
    <w:rsid w:val="00F5236E"/>
    <w:rsid w:val="00F52EEF"/>
    <w:rsid w:val="00F53246"/>
    <w:rsid w:val="00F545A1"/>
    <w:rsid w:val="00F57645"/>
    <w:rsid w:val="00F57E94"/>
    <w:rsid w:val="00F603C8"/>
    <w:rsid w:val="00F60474"/>
    <w:rsid w:val="00F6055A"/>
    <w:rsid w:val="00F60F57"/>
    <w:rsid w:val="00F61B71"/>
    <w:rsid w:val="00F640C3"/>
    <w:rsid w:val="00F66D50"/>
    <w:rsid w:val="00F674BA"/>
    <w:rsid w:val="00F6772F"/>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4834"/>
    <w:rsid w:val="00FC6ACF"/>
    <w:rsid w:val="00FC6F67"/>
    <w:rsid w:val="00FC74FD"/>
    <w:rsid w:val="00FD0161"/>
    <w:rsid w:val="00FD0E0C"/>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357452"/>
    <w:rsid w:val="01535EBC"/>
    <w:rsid w:val="01A051A5"/>
    <w:rsid w:val="01AD6336"/>
    <w:rsid w:val="01AD73F5"/>
    <w:rsid w:val="01D80251"/>
    <w:rsid w:val="01E8211B"/>
    <w:rsid w:val="01ED2F4F"/>
    <w:rsid w:val="021676AC"/>
    <w:rsid w:val="022005DB"/>
    <w:rsid w:val="02440C2F"/>
    <w:rsid w:val="027030CC"/>
    <w:rsid w:val="028D732C"/>
    <w:rsid w:val="029A6F8B"/>
    <w:rsid w:val="02B61011"/>
    <w:rsid w:val="031E77DD"/>
    <w:rsid w:val="032F2A05"/>
    <w:rsid w:val="033D4C36"/>
    <w:rsid w:val="038627B8"/>
    <w:rsid w:val="03CF5743"/>
    <w:rsid w:val="04115339"/>
    <w:rsid w:val="04122769"/>
    <w:rsid w:val="041B3FB5"/>
    <w:rsid w:val="0441000A"/>
    <w:rsid w:val="04424A26"/>
    <w:rsid w:val="04BC240B"/>
    <w:rsid w:val="04BE3BD3"/>
    <w:rsid w:val="04E57349"/>
    <w:rsid w:val="058F5409"/>
    <w:rsid w:val="05A51DB9"/>
    <w:rsid w:val="060B7677"/>
    <w:rsid w:val="061A5313"/>
    <w:rsid w:val="061A69EE"/>
    <w:rsid w:val="0641548F"/>
    <w:rsid w:val="06492AAF"/>
    <w:rsid w:val="0671338F"/>
    <w:rsid w:val="06742E8C"/>
    <w:rsid w:val="0698417D"/>
    <w:rsid w:val="069D2949"/>
    <w:rsid w:val="06C40896"/>
    <w:rsid w:val="06CD6568"/>
    <w:rsid w:val="06D946F5"/>
    <w:rsid w:val="06FE7FDB"/>
    <w:rsid w:val="070754CD"/>
    <w:rsid w:val="072E7F81"/>
    <w:rsid w:val="0734625B"/>
    <w:rsid w:val="07351825"/>
    <w:rsid w:val="07975E0D"/>
    <w:rsid w:val="07FA29C5"/>
    <w:rsid w:val="0806057A"/>
    <w:rsid w:val="084A2556"/>
    <w:rsid w:val="087255D0"/>
    <w:rsid w:val="088E4584"/>
    <w:rsid w:val="08A477F9"/>
    <w:rsid w:val="08D02C41"/>
    <w:rsid w:val="08E73A74"/>
    <w:rsid w:val="08E73F86"/>
    <w:rsid w:val="08F45AE2"/>
    <w:rsid w:val="094216B7"/>
    <w:rsid w:val="094F3B76"/>
    <w:rsid w:val="09B01B12"/>
    <w:rsid w:val="09C00431"/>
    <w:rsid w:val="09C02BBF"/>
    <w:rsid w:val="09D62DC2"/>
    <w:rsid w:val="09DD5F7E"/>
    <w:rsid w:val="0A840181"/>
    <w:rsid w:val="0AA76BBF"/>
    <w:rsid w:val="0ABA3196"/>
    <w:rsid w:val="0ABB7739"/>
    <w:rsid w:val="0ABD67A5"/>
    <w:rsid w:val="0AC74C67"/>
    <w:rsid w:val="0AEC4C33"/>
    <w:rsid w:val="0AF81F7D"/>
    <w:rsid w:val="0AF9651E"/>
    <w:rsid w:val="0B035D76"/>
    <w:rsid w:val="0B0D72DF"/>
    <w:rsid w:val="0B532916"/>
    <w:rsid w:val="0BA71F9F"/>
    <w:rsid w:val="0BC24B89"/>
    <w:rsid w:val="0BD3693F"/>
    <w:rsid w:val="0BF608EB"/>
    <w:rsid w:val="0CD8076E"/>
    <w:rsid w:val="0D3614D2"/>
    <w:rsid w:val="0D4A190D"/>
    <w:rsid w:val="0D4E23A3"/>
    <w:rsid w:val="0D871014"/>
    <w:rsid w:val="0D9A18D0"/>
    <w:rsid w:val="0DD0188F"/>
    <w:rsid w:val="0DE0505C"/>
    <w:rsid w:val="0E264CC8"/>
    <w:rsid w:val="0E6B3D1C"/>
    <w:rsid w:val="0E74349E"/>
    <w:rsid w:val="0E7E64AC"/>
    <w:rsid w:val="0E865C18"/>
    <w:rsid w:val="0E9374EA"/>
    <w:rsid w:val="0EB94892"/>
    <w:rsid w:val="0F012471"/>
    <w:rsid w:val="0F09353F"/>
    <w:rsid w:val="0F2E2D2F"/>
    <w:rsid w:val="0F380138"/>
    <w:rsid w:val="0F4C40F9"/>
    <w:rsid w:val="0F571F81"/>
    <w:rsid w:val="0F5F7948"/>
    <w:rsid w:val="0F991079"/>
    <w:rsid w:val="0FA13584"/>
    <w:rsid w:val="100573B4"/>
    <w:rsid w:val="10BE71C3"/>
    <w:rsid w:val="10F61CD8"/>
    <w:rsid w:val="10FB4A31"/>
    <w:rsid w:val="11337EFB"/>
    <w:rsid w:val="115713ED"/>
    <w:rsid w:val="11600A16"/>
    <w:rsid w:val="11707147"/>
    <w:rsid w:val="11761878"/>
    <w:rsid w:val="118A635C"/>
    <w:rsid w:val="11BE3C2F"/>
    <w:rsid w:val="11D34FC9"/>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FF48BD"/>
    <w:rsid w:val="17183CCA"/>
    <w:rsid w:val="174428E9"/>
    <w:rsid w:val="17452200"/>
    <w:rsid w:val="176420E2"/>
    <w:rsid w:val="178B74E4"/>
    <w:rsid w:val="17992837"/>
    <w:rsid w:val="17BB7C5F"/>
    <w:rsid w:val="18127246"/>
    <w:rsid w:val="18376C5B"/>
    <w:rsid w:val="183C749A"/>
    <w:rsid w:val="18527289"/>
    <w:rsid w:val="185E77BE"/>
    <w:rsid w:val="187472F0"/>
    <w:rsid w:val="18877CCA"/>
    <w:rsid w:val="18A81BCE"/>
    <w:rsid w:val="18BB49A9"/>
    <w:rsid w:val="18BD7907"/>
    <w:rsid w:val="19181D00"/>
    <w:rsid w:val="19370A73"/>
    <w:rsid w:val="19AC6797"/>
    <w:rsid w:val="19FE3D52"/>
    <w:rsid w:val="1A182E22"/>
    <w:rsid w:val="1A680331"/>
    <w:rsid w:val="1A7C2890"/>
    <w:rsid w:val="1AA846CB"/>
    <w:rsid w:val="1AA8733D"/>
    <w:rsid w:val="1B0051DB"/>
    <w:rsid w:val="1B1D327A"/>
    <w:rsid w:val="1B324FB0"/>
    <w:rsid w:val="1B5653C7"/>
    <w:rsid w:val="1B807109"/>
    <w:rsid w:val="1B975ED5"/>
    <w:rsid w:val="1BAF2B27"/>
    <w:rsid w:val="1C0A6142"/>
    <w:rsid w:val="1C594598"/>
    <w:rsid w:val="1C7976A4"/>
    <w:rsid w:val="1C8735BD"/>
    <w:rsid w:val="1CF017CB"/>
    <w:rsid w:val="1D0B0A16"/>
    <w:rsid w:val="1D3212A4"/>
    <w:rsid w:val="1D4B08BC"/>
    <w:rsid w:val="1D650CC3"/>
    <w:rsid w:val="1DF36F10"/>
    <w:rsid w:val="1E1A3914"/>
    <w:rsid w:val="1E5B735D"/>
    <w:rsid w:val="1EBE11B1"/>
    <w:rsid w:val="1EC63D7C"/>
    <w:rsid w:val="1EE13120"/>
    <w:rsid w:val="1EEC1248"/>
    <w:rsid w:val="1EF24A99"/>
    <w:rsid w:val="1F145E2D"/>
    <w:rsid w:val="1F4D61EB"/>
    <w:rsid w:val="1F9A6A11"/>
    <w:rsid w:val="1FD41E96"/>
    <w:rsid w:val="1FFC1DC4"/>
    <w:rsid w:val="207E6C00"/>
    <w:rsid w:val="20831983"/>
    <w:rsid w:val="20A0176D"/>
    <w:rsid w:val="20B2740F"/>
    <w:rsid w:val="21344642"/>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9A1EB1"/>
    <w:rsid w:val="24E07E36"/>
    <w:rsid w:val="25027CEC"/>
    <w:rsid w:val="251A47DB"/>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B91633"/>
    <w:rsid w:val="27BE4B44"/>
    <w:rsid w:val="27D0173F"/>
    <w:rsid w:val="27DD18F1"/>
    <w:rsid w:val="28163B2C"/>
    <w:rsid w:val="281B2B80"/>
    <w:rsid w:val="28227A69"/>
    <w:rsid w:val="28DC66D6"/>
    <w:rsid w:val="28DE69AB"/>
    <w:rsid w:val="28E6016C"/>
    <w:rsid w:val="28E61363"/>
    <w:rsid w:val="28F81A01"/>
    <w:rsid w:val="293C4340"/>
    <w:rsid w:val="29630D60"/>
    <w:rsid w:val="299261A8"/>
    <w:rsid w:val="29976826"/>
    <w:rsid w:val="2A447D96"/>
    <w:rsid w:val="2AA22547"/>
    <w:rsid w:val="2AA27CAB"/>
    <w:rsid w:val="2B0651FF"/>
    <w:rsid w:val="2B8E3855"/>
    <w:rsid w:val="2B942C10"/>
    <w:rsid w:val="2BBE7D2C"/>
    <w:rsid w:val="2BD41345"/>
    <w:rsid w:val="2BEE5854"/>
    <w:rsid w:val="2C897AD5"/>
    <w:rsid w:val="2CBD4227"/>
    <w:rsid w:val="2CFC2C0B"/>
    <w:rsid w:val="2D1F1FF1"/>
    <w:rsid w:val="2D266524"/>
    <w:rsid w:val="2D2C75CF"/>
    <w:rsid w:val="2D4C2D0F"/>
    <w:rsid w:val="2D8C25BE"/>
    <w:rsid w:val="2DBB66F9"/>
    <w:rsid w:val="2DD90901"/>
    <w:rsid w:val="2E3F6FF1"/>
    <w:rsid w:val="2E4E27CA"/>
    <w:rsid w:val="2E5D0DE4"/>
    <w:rsid w:val="2EBA6468"/>
    <w:rsid w:val="2ED647A7"/>
    <w:rsid w:val="2ED6546B"/>
    <w:rsid w:val="2ED96FE6"/>
    <w:rsid w:val="2EE96EDE"/>
    <w:rsid w:val="2EF04095"/>
    <w:rsid w:val="2EFD6C01"/>
    <w:rsid w:val="2F1E329D"/>
    <w:rsid w:val="2F4F3840"/>
    <w:rsid w:val="2F9D42C1"/>
    <w:rsid w:val="2FA616B9"/>
    <w:rsid w:val="2FA874B2"/>
    <w:rsid w:val="2FEF61B9"/>
    <w:rsid w:val="2FF61B1F"/>
    <w:rsid w:val="303E7739"/>
    <w:rsid w:val="304327DC"/>
    <w:rsid w:val="30544032"/>
    <w:rsid w:val="30623857"/>
    <w:rsid w:val="30671CC4"/>
    <w:rsid w:val="307562FE"/>
    <w:rsid w:val="308512F4"/>
    <w:rsid w:val="308835B0"/>
    <w:rsid w:val="30923480"/>
    <w:rsid w:val="30A17FDC"/>
    <w:rsid w:val="30C1111D"/>
    <w:rsid w:val="30F811AB"/>
    <w:rsid w:val="312253DC"/>
    <w:rsid w:val="313E40CB"/>
    <w:rsid w:val="31495365"/>
    <w:rsid w:val="316257D1"/>
    <w:rsid w:val="3186794B"/>
    <w:rsid w:val="318F0C07"/>
    <w:rsid w:val="31CA1916"/>
    <w:rsid w:val="31E871BF"/>
    <w:rsid w:val="31EC42D3"/>
    <w:rsid w:val="31F01E96"/>
    <w:rsid w:val="320870E0"/>
    <w:rsid w:val="3210025C"/>
    <w:rsid w:val="321466A7"/>
    <w:rsid w:val="32352F48"/>
    <w:rsid w:val="3246521D"/>
    <w:rsid w:val="3297664C"/>
    <w:rsid w:val="32B86216"/>
    <w:rsid w:val="32BF1CD9"/>
    <w:rsid w:val="32D6021D"/>
    <w:rsid w:val="330D7462"/>
    <w:rsid w:val="33456D0A"/>
    <w:rsid w:val="334B2D3B"/>
    <w:rsid w:val="334C77CF"/>
    <w:rsid w:val="33563FC4"/>
    <w:rsid w:val="335E5AD0"/>
    <w:rsid w:val="33676308"/>
    <w:rsid w:val="33C375AD"/>
    <w:rsid w:val="33ED4BAD"/>
    <w:rsid w:val="34460C91"/>
    <w:rsid w:val="344F318A"/>
    <w:rsid w:val="345676E2"/>
    <w:rsid w:val="345C691A"/>
    <w:rsid w:val="345D2E42"/>
    <w:rsid w:val="345E214B"/>
    <w:rsid w:val="34953CBA"/>
    <w:rsid w:val="34A50961"/>
    <w:rsid w:val="34AD087C"/>
    <w:rsid w:val="34BC4FA2"/>
    <w:rsid w:val="34BD1D33"/>
    <w:rsid w:val="34CD2EB2"/>
    <w:rsid w:val="34FE33DD"/>
    <w:rsid w:val="35293D5E"/>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6D63D6"/>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2E0A25"/>
    <w:rsid w:val="3E3B24BF"/>
    <w:rsid w:val="3E5C12D4"/>
    <w:rsid w:val="3E64265A"/>
    <w:rsid w:val="3E6C3FAF"/>
    <w:rsid w:val="3E8E0FDF"/>
    <w:rsid w:val="3E93172F"/>
    <w:rsid w:val="3EA51E2C"/>
    <w:rsid w:val="3EAC040D"/>
    <w:rsid w:val="3EF34B07"/>
    <w:rsid w:val="3F1617B9"/>
    <w:rsid w:val="3F72094D"/>
    <w:rsid w:val="3FAD777A"/>
    <w:rsid w:val="3FC52740"/>
    <w:rsid w:val="3FD1085F"/>
    <w:rsid w:val="3FF13A3F"/>
    <w:rsid w:val="40117EB2"/>
    <w:rsid w:val="401A03CE"/>
    <w:rsid w:val="406075D2"/>
    <w:rsid w:val="406D1780"/>
    <w:rsid w:val="409A1B98"/>
    <w:rsid w:val="40CD6B92"/>
    <w:rsid w:val="411B4824"/>
    <w:rsid w:val="413D5C6F"/>
    <w:rsid w:val="413D73C6"/>
    <w:rsid w:val="4181493C"/>
    <w:rsid w:val="41A22AC3"/>
    <w:rsid w:val="41DE0C28"/>
    <w:rsid w:val="42120A50"/>
    <w:rsid w:val="424625C8"/>
    <w:rsid w:val="426974B2"/>
    <w:rsid w:val="428C0159"/>
    <w:rsid w:val="42950901"/>
    <w:rsid w:val="42C579CC"/>
    <w:rsid w:val="42C62A86"/>
    <w:rsid w:val="42CD5499"/>
    <w:rsid w:val="42EA60E9"/>
    <w:rsid w:val="434314FE"/>
    <w:rsid w:val="435201BE"/>
    <w:rsid w:val="435C52D6"/>
    <w:rsid w:val="43645516"/>
    <w:rsid w:val="437A2C86"/>
    <w:rsid w:val="439C25AD"/>
    <w:rsid w:val="43DF7AA6"/>
    <w:rsid w:val="44241DDE"/>
    <w:rsid w:val="44276889"/>
    <w:rsid w:val="44530233"/>
    <w:rsid w:val="44E1632C"/>
    <w:rsid w:val="44EB798A"/>
    <w:rsid w:val="455B32C5"/>
    <w:rsid w:val="45642F6A"/>
    <w:rsid w:val="4580318F"/>
    <w:rsid w:val="45916918"/>
    <w:rsid w:val="459C36BB"/>
    <w:rsid w:val="45FD7292"/>
    <w:rsid w:val="464A26E8"/>
    <w:rsid w:val="464E293A"/>
    <w:rsid w:val="467D0950"/>
    <w:rsid w:val="468519F8"/>
    <w:rsid w:val="469A4E5F"/>
    <w:rsid w:val="46CB1932"/>
    <w:rsid w:val="470569E4"/>
    <w:rsid w:val="4706752E"/>
    <w:rsid w:val="475E2800"/>
    <w:rsid w:val="47A706EE"/>
    <w:rsid w:val="47DA195B"/>
    <w:rsid w:val="47DE4A9E"/>
    <w:rsid w:val="48201CB2"/>
    <w:rsid w:val="488241AC"/>
    <w:rsid w:val="488A01D5"/>
    <w:rsid w:val="489A5AD0"/>
    <w:rsid w:val="48BC0178"/>
    <w:rsid w:val="48E2348D"/>
    <w:rsid w:val="490B58A7"/>
    <w:rsid w:val="491A0CE2"/>
    <w:rsid w:val="492A3B5A"/>
    <w:rsid w:val="493C077D"/>
    <w:rsid w:val="49490F6C"/>
    <w:rsid w:val="49587306"/>
    <w:rsid w:val="49A9444F"/>
    <w:rsid w:val="49EE28F9"/>
    <w:rsid w:val="4A1242B7"/>
    <w:rsid w:val="4A20103D"/>
    <w:rsid w:val="4A2631E4"/>
    <w:rsid w:val="4A9061CF"/>
    <w:rsid w:val="4A955F53"/>
    <w:rsid w:val="4B024453"/>
    <w:rsid w:val="4B144D40"/>
    <w:rsid w:val="4B230331"/>
    <w:rsid w:val="4B4107D0"/>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CB1184"/>
    <w:rsid w:val="4DDD5294"/>
    <w:rsid w:val="4DF00666"/>
    <w:rsid w:val="4E1472EE"/>
    <w:rsid w:val="4E257CC1"/>
    <w:rsid w:val="4E33012A"/>
    <w:rsid w:val="4E552608"/>
    <w:rsid w:val="4E68191A"/>
    <w:rsid w:val="4E6B1DD7"/>
    <w:rsid w:val="4E857630"/>
    <w:rsid w:val="4E8F1021"/>
    <w:rsid w:val="4E960D48"/>
    <w:rsid w:val="4E977538"/>
    <w:rsid w:val="4EE00DC9"/>
    <w:rsid w:val="4EE707FB"/>
    <w:rsid w:val="4F002168"/>
    <w:rsid w:val="4F3E18B2"/>
    <w:rsid w:val="4FB17A29"/>
    <w:rsid w:val="4FEA56E6"/>
    <w:rsid w:val="503150E3"/>
    <w:rsid w:val="50836079"/>
    <w:rsid w:val="509171DA"/>
    <w:rsid w:val="50CB4649"/>
    <w:rsid w:val="51057F79"/>
    <w:rsid w:val="51475CC0"/>
    <w:rsid w:val="514D59E0"/>
    <w:rsid w:val="51694330"/>
    <w:rsid w:val="51895191"/>
    <w:rsid w:val="51AF698E"/>
    <w:rsid w:val="51C06621"/>
    <w:rsid w:val="51C23BAD"/>
    <w:rsid w:val="51DD319C"/>
    <w:rsid w:val="520F6D93"/>
    <w:rsid w:val="52252EBD"/>
    <w:rsid w:val="529B6F98"/>
    <w:rsid w:val="52A66C49"/>
    <w:rsid w:val="52B63145"/>
    <w:rsid w:val="52BB1F28"/>
    <w:rsid w:val="52E71FB4"/>
    <w:rsid w:val="53AE5964"/>
    <w:rsid w:val="53B54782"/>
    <w:rsid w:val="54494545"/>
    <w:rsid w:val="547B4879"/>
    <w:rsid w:val="54AA0A30"/>
    <w:rsid w:val="54B00903"/>
    <w:rsid w:val="54CB7EA9"/>
    <w:rsid w:val="54DE303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337254"/>
    <w:rsid w:val="58836EBC"/>
    <w:rsid w:val="58B1460B"/>
    <w:rsid w:val="58D63927"/>
    <w:rsid w:val="58E00C77"/>
    <w:rsid w:val="58E86A1E"/>
    <w:rsid w:val="58F0210A"/>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3D374E"/>
    <w:rsid w:val="5F4F7A12"/>
    <w:rsid w:val="5F9C495E"/>
    <w:rsid w:val="5FCA2AA7"/>
    <w:rsid w:val="604C5FB7"/>
    <w:rsid w:val="604D1625"/>
    <w:rsid w:val="60A239C9"/>
    <w:rsid w:val="60CB5549"/>
    <w:rsid w:val="60FA6D79"/>
    <w:rsid w:val="610A150D"/>
    <w:rsid w:val="61175A8E"/>
    <w:rsid w:val="613A17BA"/>
    <w:rsid w:val="61577614"/>
    <w:rsid w:val="617F1A46"/>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3D7B82"/>
    <w:rsid w:val="64806028"/>
    <w:rsid w:val="64CF2277"/>
    <w:rsid w:val="64F73439"/>
    <w:rsid w:val="650802E3"/>
    <w:rsid w:val="650B252D"/>
    <w:rsid w:val="6530763D"/>
    <w:rsid w:val="6531024B"/>
    <w:rsid w:val="65506B03"/>
    <w:rsid w:val="6574639E"/>
    <w:rsid w:val="657D32A1"/>
    <w:rsid w:val="657E3736"/>
    <w:rsid w:val="66083494"/>
    <w:rsid w:val="66257BD6"/>
    <w:rsid w:val="667C7C00"/>
    <w:rsid w:val="668E1C3C"/>
    <w:rsid w:val="66E84324"/>
    <w:rsid w:val="66F44120"/>
    <w:rsid w:val="67321F44"/>
    <w:rsid w:val="67390939"/>
    <w:rsid w:val="676C2CBF"/>
    <w:rsid w:val="67C046AA"/>
    <w:rsid w:val="68791231"/>
    <w:rsid w:val="68812F96"/>
    <w:rsid w:val="688A1D55"/>
    <w:rsid w:val="68BF756D"/>
    <w:rsid w:val="68CE27BB"/>
    <w:rsid w:val="68E56882"/>
    <w:rsid w:val="68F84167"/>
    <w:rsid w:val="691F09A3"/>
    <w:rsid w:val="694A2AD0"/>
    <w:rsid w:val="69500604"/>
    <w:rsid w:val="696D08E0"/>
    <w:rsid w:val="69C15A14"/>
    <w:rsid w:val="69C84FA5"/>
    <w:rsid w:val="69CB2A62"/>
    <w:rsid w:val="69CC2B0F"/>
    <w:rsid w:val="69D82D07"/>
    <w:rsid w:val="6A07511F"/>
    <w:rsid w:val="6A294BD3"/>
    <w:rsid w:val="6A8848D8"/>
    <w:rsid w:val="6A9D190B"/>
    <w:rsid w:val="6AC10B58"/>
    <w:rsid w:val="6AC41799"/>
    <w:rsid w:val="6B8954B5"/>
    <w:rsid w:val="6BAE42B9"/>
    <w:rsid w:val="6BBD214F"/>
    <w:rsid w:val="6BDF5F4E"/>
    <w:rsid w:val="6BED58AF"/>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14B35"/>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E064F"/>
    <w:rsid w:val="762D7050"/>
    <w:rsid w:val="7663600F"/>
    <w:rsid w:val="767D2049"/>
    <w:rsid w:val="768207A5"/>
    <w:rsid w:val="76A2179B"/>
    <w:rsid w:val="76A553DC"/>
    <w:rsid w:val="76D51348"/>
    <w:rsid w:val="76D66050"/>
    <w:rsid w:val="770352EE"/>
    <w:rsid w:val="77565832"/>
    <w:rsid w:val="776E4150"/>
    <w:rsid w:val="77890BDB"/>
    <w:rsid w:val="7793733B"/>
    <w:rsid w:val="77BA414F"/>
    <w:rsid w:val="77D3660D"/>
    <w:rsid w:val="785437D3"/>
    <w:rsid w:val="78565AAF"/>
    <w:rsid w:val="78BE7CBA"/>
    <w:rsid w:val="78C10517"/>
    <w:rsid w:val="78C71CD3"/>
    <w:rsid w:val="78D272EE"/>
    <w:rsid w:val="78DD3131"/>
    <w:rsid w:val="78E4026D"/>
    <w:rsid w:val="79427878"/>
    <w:rsid w:val="79430348"/>
    <w:rsid w:val="79701A39"/>
    <w:rsid w:val="799975C1"/>
    <w:rsid w:val="79B810F6"/>
    <w:rsid w:val="79E75433"/>
    <w:rsid w:val="7A082988"/>
    <w:rsid w:val="7A1C10FB"/>
    <w:rsid w:val="7A286937"/>
    <w:rsid w:val="7A33250D"/>
    <w:rsid w:val="7A424D7F"/>
    <w:rsid w:val="7A4D4FC3"/>
    <w:rsid w:val="7A8A4F36"/>
    <w:rsid w:val="7AB87EDD"/>
    <w:rsid w:val="7ABA7BB0"/>
    <w:rsid w:val="7ABB0624"/>
    <w:rsid w:val="7AC074E8"/>
    <w:rsid w:val="7AC84DC1"/>
    <w:rsid w:val="7AE64B83"/>
    <w:rsid w:val="7AF42850"/>
    <w:rsid w:val="7B002162"/>
    <w:rsid w:val="7B124FB7"/>
    <w:rsid w:val="7B361A8A"/>
    <w:rsid w:val="7B83108A"/>
    <w:rsid w:val="7BAE5A06"/>
    <w:rsid w:val="7BDF1C40"/>
    <w:rsid w:val="7BFE2799"/>
    <w:rsid w:val="7CAB63B7"/>
    <w:rsid w:val="7CB818B8"/>
    <w:rsid w:val="7CD50713"/>
    <w:rsid w:val="7D2B46B5"/>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5CC88D-DBE9-4CFA-B4C5-E4521D63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568" w:hanging="284"/>
    </w:pPr>
  </w:style>
  <w:style w:type="paragraph" w:styleId="aa">
    <w:name w:val="annotation subject"/>
    <w:basedOn w:val="a4"/>
    <w:next w:val="a4"/>
    <w:link w:val="Char5"/>
    <w:qFormat/>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uiPriority w:val="22"/>
    <w:qFormat/>
    <w:rPr>
      <w:b/>
      <w:bCs/>
    </w:rPr>
  </w:style>
  <w:style w:type="character" w:styleId="ad">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e">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a"/>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B1">
    <w:name w:val="B1"/>
    <w:basedOn w:val="a9"/>
    <w:qFormat/>
  </w:style>
  <w:style w:type="paragraph" w:customStyle="1" w:styleId="NO">
    <w:name w:val="NO"/>
    <w:basedOn w:val="a"/>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F4B7A8-9588-44D8-ADBB-782F54EA9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943</Words>
  <Characters>5381</Characters>
  <Application>Microsoft Office Word</Application>
  <DocSecurity>0</DocSecurity>
  <Lines>44</Lines>
  <Paragraphs>12</Paragraphs>
  <ScaleCrop>false</ScaleCrop>
  <Company/>
  <LinksUpToDate>false</LinksUpToDate>
  <CharactersWithSpaces>6312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3</cp:revision>
  <dcterms:created xsi:type="dcterms:W3CDTF">2022-08-11T08:41:00Z</dcterms:created>
  <dcterms:modified xsi:type="dcterms:W3CDTF">2022-08-12T13:19:00Z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